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878" w:rsidRDefault="00D92878">
      <w:pPr>
        <w:rPr>
          <w:rFonts w:ascii="Arial" w:hAnsi="Arial" w:cs="Arial"/>
          <w:b/>
          <w:lang w:val="sv-SE"/>
        </w:rPr>
      </w:pPr>
      <w:r>
        <w:rPr>
          <w:noProof/>
          <w:lang w:val="sv-SE" w:eastAsia="sv-SE"/>
        </w:rPr>
        <w:drawing>
          <wp:inline distT="0" distB="0" distL="0" distR="0">
            <wp:extent cx="1905000" cy="809625"/>
            <wp:effectExtent l="0" t="0" r="0" b="0"/>
            <wp:docPr id="1" name="Bildobjekt 1" descr="logo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0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809625"/>
                    </a:xfrm>
                    <a:prstGeom prst="rect">
                      <a:avLst/>
                    </a:prstGeom>
                    <a:noFill/>
                    <a:ln>
                      <a:noFill/>
                    </a:ln>
                  </pic:spPr>
                </pic:pic>
              </a:graphicData>
            </a:graphic>
          </wp:inline>
        </w:drawing>
      </w:r>
    </w:p>
    <w:p w:rsidR="00D92878" w:rsidRPr="00D92878" w:rsidRDefault="00D92878" w:rsidP="00D92878">
      <w:pPr>
        <w:pStyle w:val="Ingetavstnd"/>
        <w:ind w:left="5040" w:firstLine="720"/>
        <w:rPr>
          <w:lang w:val="sv-SE"/>
        </w:rPr>
      </w:pPr>
      <w:r w:rsidRPr="00D92878">
        <w:rPr>
          <w:lang w:val="sv-SE"/>
        </w:rPr>
        <w:t>Till</w:t>
      </w:r>
    </w:p>
    <w:p w:rsidR="00D92878" w:rsidRPr="00D92878" w:rsidRDefault="00D92878" w:rsidP="00D92878">
      <w:pPr>
        <w:pStyle w:val="Ingetavstnd"/>
        <w:ind w:left="5040" w:firstLine="720"/>
        <w:rPr>
          <w:lang w:val="sv-SE"/>
        </w:rPr>
      </w:pPr>
      <w:r w:rsidRPr="00D92878">
        <w:rPr>
          <w:lang w:val="sv-SE"/>
        </w:rPr>
        <w:t>Trafikverket</w:t>
      </w:r>
    </w:p>
    <w:p w:rsidR="00D92878" w:rsidRDefault="00D92878" w:rsidP="00D92878">
      <w:pPr>
        <w:pStyle w:val="Ingetavstnd"/>
        <w:ind w:left="5040" w:firstLine="720"/>
        <w:rPr>
          <w:lang w:val="sv-SE"/>
        </w:rPr>
      </w:pPr>
      <w:r w:rsidRPr="00D92878">
        <w:rPr>
          <w:lang w:val="sv-SE"/>
        </w:rPr>
        <w:t xml:space="preserve">E-post: </w:t>
      </w:r>
      <w:hyperlink r:id="rId10" w:history="1">
        <w:r w:rsidR="00082592" w:rsidRPr="002A72A9">
          <w:rPr>
            <w:rStyle w:val="Hyperlnk"/>
            <w:lang w:val="sv-SE"/>
          </w:rPr>
          <w:t>trafikverket@trafikverket.se</w:t>
        </w:r>
      </w:hyperlink>
    </w:p>
    <w:p w:rsidR="00082592" w:rsidRDefault="00082592" w:rsidP="00D92878">
      <w:pPr>
        <w:pStyle w:val="Ingetavstnd"/>
        <w:ind w:left="5040" w:firstLine="720"/>
        <w:rPr>
          <w:lang w:val="sv-SE"/>
        </w:rPr>
      </w:pPr>
    </w:p>
    <w:p w:rsidR="00082592" w:rsidRDefault="00082592" w:rsidP="00D92878">
      <w:pPr>
        <w:pStyle w:val="Ingetavstnd"/>
        <w:ind w:left="5040" w:firstLine="720"/>
        <w:rPr>
          <w:lang w:val="sv-SE"/>
        </w:rPr>
      </w:pPr>
    </w:p>
    <w:p w:rsidR="00082592" w:rsidRDefault="00082592" w:rsidP="00D92878">
      <w:pPr>
        <w:pStyle w:val="Ingetavstnd"/>
        <w:ind w:left="5040" w:firstLine="720"/>
        <w:rPr>
          <w:lang w:val="sv-SE"/>
        </w:rPr>
      </w:pPr>
    </w:p>
    <w:p w:rsidR="00082592" w:rsidRDefault="00082592" w:rsidP="00D92878">
      <w:pPr>
        <w:pStyle w:val="Ingetavstnd"/>
        <w:ind w:left="5040" w:firstLine="720"/>
        <w:rPr>
          <w:lang w:val="sv-SE"/>
        </w:rPr>
      </w:pPr>
      <w:r>
        <w:rPr>
          <w:lang w:val="sv-SE"/>
        </w:rPr>
        <w:t>Stockholm 2012-11-23</w:t>
      </w:r>
    </w:p>
    <w:p w:rsidR="00082592" w:rsidRDefault="00082592" w:rsidP="00D92878">
      <w:pPr>
        <w:pStyle w:val="Ingetavstnd"/>
        <w:ind w:left="5040" w:firstLine="720"/>
        <w:rPr>
          <w:lang w:val="sv-SE"/>
        </w:rPr>
      </w:pPr>
    </w:p>
    <w:p w:rsidR="00082592" w:rsidRPr="00D92878" w:rsidRDefault="00082592" w:rsidP="00D92878">
      <w:pPr>
        <w:pStyle w:val="Ingetavstnd"/>
        <w:ind w:left="5040" w:firstLine="720"/>
        <w:rPr>
          <w:lang w:val="sv-SE"/>
        </w:rPr>
      </w:pPr>
    </w:p>
    <w:p w:rsidR="00D92878" w:rsidRDefault="00D92878">
      <w:pPr>
        <w:rPr>
          <w:rFonts w:ascii="Arial" w:hAnsi="Arial" w:cs="Arial"/>
          <w:b/>
          <w:lang w:val="sv-SE"/>
        </w:rPr>
      </w:pPr>
    </w:p>
    <w:p w:rsidR="00B2487F" w:rsidRPr="008F3954" w:rsidRDefault="000E06C5">
      <w:pPr>
        <w:rPr>
          <w:rFonts w:ascii="Arial" w:hAnsi="Arial" w:cs="Arial"/>
          <w:b/>
          <w:lang w:val="sv-SE"/>
        </w:rPr>
      </w:pPr>
      <w:r w:rsidRPr="008F3954">
        <w:rPr>
          <w:rFonts w:ascii="Arial" w:hAnsi="Arial" w:cs="Arial"/>
          <w:b/>
          <w:lang w:val="sv-SE"/>
        </w:rPr>
        <w:t>Branschföreningen Tågoperatörernas r</w:t>
      </w:r>
      <w:r w:rsidR="00634A56" w:rsidRPr="008F3954">
        <w:rPr>
          <w:rFonts w:ascii="Arial" w:hAnsi="Arial" w:cs="Arial"/>
          <w:b/>
          <w:lang w:val="sv-SE"/>
        </w:rPr>
        <w:t>em</w:t>
      </w:r>
      <w:r w:rsidR="008F3954" w:rsidRPr="008F3954">
        <w:rPr>
          <w:rFonts w:ascii="Arial" w:hAnsi="Arial" w:cs="Arial"/>
          <w:b/>
          <w:lang w:val="sv-SE"/>
        </w:rPr>
        <w:t>i</w:t>
      </w:r>
      <w:r w:rsidR="00634A56" w:rsidRPr="008F3954">
        <w:rPr>
          <w:rFonts w:ascii="Arial" w:hAnsi="Arial" w:cs="Arial"/>
          <w:b/>
          <w:lang w:val="sv-SE"/>
        </w:rPr>
        <w:t xml:space="preserve">ssvar på </w:t>
      </w:r>
      <w:r w:rsidR="00B2487F" w:rsidRPr="008F3954">
        <w:rPr>
          <w:rFonts w:ascii="Arial" w:hAnsi="Arial" w:cs="Arial"/>
          <w:b/>
          <w:lang w:val="sv-SE"/>
        </w:rPr>
        <w:t>BVS 1586.68</w:t>
      </w:r>
    </w:p>
    <w:p w:rsidR="000270D5" w:rsidRPr="008F3954" w:rsidRDefault="00B2487F">
      <w:pPr>
        <w:rPr>
          <w:rFonts w:ascii="Arial" w:hAnsi="Arial" w:cs="Arial"/>
          <w:lang w:val="sv-SE"/>
        </w:rPr>
      </w:pPr>
      <w:r w:rsidRPr="008F3954">
        <w:rPr>
          <w:rFonts w:ascii="Arial" w:hAnsi="Arial" w:cs="Arial"/>
          <w:lang w:val="sv-SE"/>
        </w:rPr>
        <w:t xml:space="preserve">Branschföreningen Tågoperatörerna </w:t>
      </w:r>
      <w:r w:rsidR="00663866" w:rsidRPr="008F3954">
        <w:rPr>
          <w:rFonts w:ascii="Arial" w:hAnsi="Arial" w:cs="Arial"/>
          <w:lang w:val="sv-SE"/>
        </w:rPr>
        <w:t>välkomnar ändringsförslaget som kommer att förbättra möjligheterna till en effektivare produktion och ökad säkerhet.</w:t>
      </w:r>
    </w:p>
    <w:p w:rsidR="00663866" w:rsidRPr="008F3954" w:rsidRDefault="00663866">
      <w:pPr>
        <w:rPr>
          <w:rFonts w:ascii="Arial" w:hAnsi="Arial" w:cs="Arial"/>
          <w:lang w:val="sv-SE"/>
        </w:rPr>
      </w:pPr>
      <w:r w:rsidRPr="008F3954">
        <w:rPr>
          <w:rFonts w:ascii="Arial" w:hAnsi="Arial" w:cs="Arial"/>
          <w:lang w:val="sv-SE"/>
        </w:rPr>
        <w:t xml:space="preserve">Förändringen går i linje med de förslag på harmonisering av nationella regler för hjulskador med dem som gällt i RIV och UIC som </w:t>
      </w:r>
      <w:r w:rsidR="00B2487F" w:rsidRPr="008F3954">
        <w:rPr>
          <w:rFonts w:ascii="Arial" w:hAnsi="Arial" w:cs="Arial"/>
          <w:lang w:val="sv-SE"/>
        </w:rPr>
        <w:t xml:space="preserve">Branschföreningen Tågoperatörerna </w:t>
      </w:r>
      <w:r w:rsidR="009D4115" w:rsidRPr="008F3954">
        <w:rPr>
          <w:rFonts w:ascii="Arial" w:hAnsi="Arial" w:cs="Arial"/>
          <w:lang w:val="sv-SE"/>
        </w:rPr>
        <w:t>och</w:t>
      </w:r>
      <w:r w:rsidRPr="008F3954">
        <w:rPr>
          <w:rFonts w:ascii="Arial" w:hAnsi="Arial" w:cs="Arial"/>
          <w:lang w:val="sv-SE"/>
        </w:rPr>
        <w:t xml:space="preserve"> </w:t>
      </w:r>
      <w:r w:rsidR="00B2487F" w:rsidRPr="008F3954">
        <w:rPr>
          <w:rFonts w:ascii="Arial" w:hAnsi="Arial" w:cs="Arial"/>
          <w:lang w:val="sv-SE"/>
        </w:rPr>
        <w:t xml:space="preserve">Svenska Privatvagnföreningen </w:t>
      </w:r>
      <w:r w:rsidR="009D4115" w:rsidRPr="008F3954">
        <w:rPr>
          <w:rFonts w:ascii="Arial" w:hAnsi="Arial" w:cs="Arial"/>
          <w:lang w:val="sv-SE"/>
        </w:rPr>
        <w:t>samt</w:t>
      </w:r>
      <w:r w:rsidRPr="008F3954">
        <w:rPr>
          <w:rFonts w:ascii="Arial" w:hAnsi="Arial" w:cs="Arial"/>
          <w:lang w:val="sv-SE"/>
        </w:rPr>
        <w:t xml:space="preserve"> enskilda medlemsföretag framfört till Trafikverket under lång tid.</w:t>
      </w:r>
    </w:p>
    <w:p w:rsidR="00663866" w:rsidRPr="008F3954" w:rsidRDefault="00212483">
      <w:pPr>
        <w:rPr>
          <w:rFonts w:ascii="Arial" w:hAnsi="Arial" w:cs="Arial"/>
          <w:lang w:val="sv-SE"/>
        </w:rPr>
      </w:pPr>
      <w:r w:rsidRPr="008F3954">
        <w:rPr>
          <w:rFonts w:ascii="Arial" w:hAnsi="Arial" w:cs="Arial"/>
          <w:lang w:val="sv-SE"/>
        </w:rPr>
        <w:t xml:space="preserve">Våra förslag på </w:t>
      </w:r>
      <w:r w:rsidRPr="008F3954">
        <w:rPr>
          <w:rFonts w:ascii="Arial" w:hAnsi="Arial" w:cs="Arial"/>
          <w:i/>
          <w:lang w:val="sv-SE"/>
        </w:rPr>
        <w:t>formuleringar</w:t>
      </w:r>
      <w:r w:rsidRPr="008F3954">
        <w:rPr>
          <w:rFonts w:ascii="Arial" w:hAnsi="Arial" w:cs="Arial"/>
          <w:lang w:val="sv-SE"/>
        </w:rPr>
        <w:t xml:space="preserve"> i BVS</w:t>
      </w:r>
      <w:r w:rsidR="007336F9" w:rsidRPr="008F3954">
        <w:rPr>
          <w:rFonts w:ascii="Arial" w:hAnsi="Arial" w:cs="Arial"/>
          <w:lang w:val="sv-SE"/>
        </w:rPr>
        <w:t> 1586.68 framgår i bilaga </w:t>
      </w:r>
      <w:r w:rsidRPr="008F3954">
        <w:rPr>
          <w:rFonts w:ascii="Arial" w:hAnsi="Arial" w:cs="Arial"/>
          <w:lang w:val="sv-SE"/>
        </w:rPr>
        <w:t>1. Vi har försökt att förtydliga och använda en terminologi som överensstämmer med JTF.</w:t>
      </w:r>
    </w:p>
    <w:p w:rsidR="00663866" w:rsidRPr="008F3954" w:rsidRDefault="007336F9">
      <w:pPr>
        <w:rPr>
          <w:rFonts w:ascii="Arial" w:hAnsi="Arial" w:cs="Arial"/>
          <w:lang w:val="sv-SE"/>
        </w:rPr>
      </w:pPr>
      <w:r w:rsidRPr="008F3954">
        <w:rPr>
          <w:rFonts w:ascii="Arial" w:hAnsi="Arial" w:cs="Arial"/>
          <w:lang w:val="sv-SE"/>
        </w:rPr>
        <w:t xml:space="preserve">BVS 1586.68 </w:t>
      </w:r>
      <w:r w:rsidR="00212483" w:rsidRPr="008F3954">
        <w:rPr>
          <w:rFonts w:ascii="Arial" w:hAnsi="Arial" w:cs="Arial"/>
          <w:lang w:val="sv-SE"/>
        </w:rPr>
        <w:t>berör end</w:t>
      </w:r>
      <w:r w:rsidR="00D73722" w:rsidRPr="008F3954">
        <w:rPr>
          <w:rFonts w:ascii="Arial" w:hAnsi="Arial" w:cs="Arial"/>
          <w:lang w:val="sv-SE"/>
        </w:rPr>
        <w:t>ast gränser för stoppande fel. Den f</w:t>
      </w:r>
      <w:r w:rsidR="00212483" w:rsidRPr="008F3954">
        <w:rPr>
          <w:rFonts w:ascii="Arial" w:hAnsi="Arial" w:cs="Arial"/>
          <w:lang w:val="sv-SE"/>
        </w:rPr>
        <w:t>örbättringspotentia</w:t>
      </w:r>
      <w:r w:rsidR="00D73722" w:rsidRPr="008F3954">
        <w:rPr>
          <w:rFonts w:ascii="Arial" w:hAnsi="Arial" w:cs="Arial"/>
          <w:lang w:val="sv-SE"/>
        </w:rPr>
        <w:t>l</w:t>
      </w:r>
      <w:r w:rsidR="00212483" w:rsidRPr="008F3954">
        <w:rPr>
          <w:rFonts w:ascii="Arial" w:hAnsi="Arial" w:cs="Arial"/>
          <w:lang w:val="sv-SE"/>
        </w:rPr>
        <w:t xml:space="preserve"> detektorerna har</w:t>
      </w:r>
      <w:r w:rsidR="00D73722" w:rsidRPr="008F3954">
        <w:rPr>
          <w:rFonts w:ascii="Arial" w:hAnsi="Arial" w:cs="Arial"/>
          <w:lang w:val="sv-SE"/>
        </w:rPr>
        <w:t>,</w:t>
      </w:r>
      <w:r w:rsidR="00212483" w:rsidRPr="008F3954">
        <w:rPr>
          <w:rFonts w:ascii="Arial" w:hAnsi="Arial" w:cs="Arial"/>
          <w:lang w:val="sv-SE"/>
        </w:rPr>
        <w:t xml:space="preserve"> </w:t>
      </w:r>
      <w:r w:rsidR="00D73722" w:rsidRPr="008F3954">
        <w:rPr>
          <w:rFonts w:ascii="Arial" w:hAnsi="Arial" w:cs="Arial"/>
          <w:lang w:val="sv-SE"/>
        </w:rPr>
        <w:t xml:space="preserve">både </w:t>
      </w:r>
      <w:r w:rsidR="00CB1230">
        <w:rPr>
          <w:rFonts w:ascii="Arial" w:hAnsi="Arial" w:cs="Arial"/>
          <w:lang w:val="sv-SE"/>
        </w:rPr>
        <w:t>för Trafikverket och J</w:t>
      </w:r>
      <w:r w:rsidR="00212483" w:rsidRPr="008F3954">
        <w:rPr>
          <w:rFonts w:ascii="Arial" w:hAnsi="Arial" w:cs="Arial"/>
          <w:lang w:val="sv-SE"/>
        </w:rPr>
        <w:t>ärnvägsföretag</w:t>
      </w:r>
      <w:r w:rsidR="00D73722" w:rsidRPr="008F3954">
        <w:rPr>
          <w:rFonts w:ascii="Arial" w:hAnsi="Arial" w:cs="Arial"/>
          <w:lang w:val="sv-SE"/>
        </w:rPr>
        <w:t>en,</w:t>
      </w:r>
      <w:r w:rsidR="00212483" w:rsidRPr="008F3954">
        <w:rPr>
          <w:rFonts w:ascii="Arial" w:hAnsi="Arial" w:cs="Arial"/>
          <w:lang w:val="sv-SE"/>
        </w:rPr>
        <w:t xml:space="preserve"> utnyttjas fullt ut först då detektore</w:t>
      </w:r>
      <w:r w:rsidR="00D73722" w:rsidRPr="008F3954">
        <w:rPr>
          <w:rFonts w:ascii="Arial" w:hAnsi="Arial" w:cs="Arial"/>
          <w:lang w:val="sv-SE"/>
        </w:rPr>
        <w:t>rnas möjlighet att varningslarma</w:t>
      </w:r>
      <w:r w:rsidR="00212483" w:rsidRPr="008F3954">
        <w:rPr>
          <w:rFonts w:ascii="Arial" w:hAnsi="Arial" w:cs="Arial"/>
          <w:lang w:val="sv-SE"/>
        </w:rPr>
        <w:t xml:space="preserve"> är driftsatt och att varningarna vid larm hanteras på ett rationellt sätt.</w:t>
      </w:r>
    </w:p>
    <w:p w:rsidR="008F3954" w:rsidRPr="008F3954" w:rsidRDefault="008F3954" w:rsidP="008F3954">
      <w:pPr>
        <w:rPr>
          <w:rFonts w:ascii="Arial" w:hAnsi="Arial" w:cs="Arial"/>
          <w:lang w:val="sv-SE"/>
        </w:rPr>
      </w:pPr>
      <w:r w:rsidRPr="008F3954">
        <w:rPr>
          <w:rFonts w:ascii="Arial" w:hAnsi="Arial" w:cs="Arial"/>
          <w:lang w:val="sv-SE"/>
        </w:rPr>
        <w:t>För att undvika onödiga trafikstörningar behöver gällande nivåer för varningslarm</w:t>
      </w:r>
      <w:r w:rsidR="00C108A7">
        <w:rPr>
          <w:rFonts w:ascii="Arial" w:hAnsi="Arial" w:cs="Arial"/>
          <w:lang w:val="sv-SE"/>
        </w:rPr>
        <w:t xml:space="preserve"> driftsättas och</w:t>
      </w:r>
      <w:r w:rsidRPr="008F3954">
        <w:rPr>
          <w:rFonts w:ascii="Arial" w:hAnsi="Arial" w:cs="Arial"/>
          <w:lang w:val="sv-SE"/>
        </w:rPr>
        <w:t xml:space="preserve"> anpassas till rådande förhållanden </w:t>
      </w:r>
      <w:r w:rsidR="00930EAD">
        <w:rPr>
          <w:rFonts w:ascii="Arial" w:hAnsi="Arial" w:cs="Arial"/>
          <w:lang w:val="sv-SE"/>
        </w:rPr>
        <w:t xml:space="preserve">tillsammans </w:t>
      </w:r>
      <w:r w:rsidRPr="008F3954">
        <w:rPr>
          <w:rFonts w:ascii="Arial" w:hAnsi="Arial" w:cs="Arial"/>
          <w:lang w:val="sv-SE"/>
        </w:rPr>
        <w:t>med en stegvis sänkning av nivån</w:t>
      </w:r>
      <w:r w:rsidR="00930EAD">
        <w:rPr>
          <w:rFonts w:ascii="Arial" w:hAnsi="Arial" w:cs="Arial"/>
          <w:lang w:val="sv-SE"/>
        </w:rPr>
        <w:t xml:space="preserve"> (från dagens till föreslagen)</w:t>
      </w:r>
      <w:r w:rsidRPr="008F3954">
        <w:rPr>
          <w:rFonts w:ascii="Arial" w:hAnsi="Arial" w:cs="Arial"/>
          <w:lang w:val="sv-SE"/>
        </w:rPr>
        <w:t xml:space="preserve"> för stoppande fel. </w:t>
      </w:r>
    </w:p>
    <w:p w:rsidR="00210413" w:rsidRPr="008F3954" w:rsidRDefault="00210413">
      <w:pPr>
        <w:rPr>
          <w:rFonts w:ascii="Arial" w:hAnsi="Arial" w:cs="Arial"/>
          <w:lang w:val="sv-SE"/>
        </w:rPr>
      </w:pPr>
      <w:r w:rsidRPr="008F3954">
        <w:rPr>
          <w:rFonts w:ascii="Arial" w:hAnsi="Arial" w:cs="Arial"/>
          <w:lang w:val="sv-SE"/>
        </w:rPr>
        <w:t>Vi har förståelse för den arbetssituation som rådde hos trafikledningen</w:t>
      </w:r>
      <w:r w:rsidR="008F3954" w:rsidRPr="008F3954">
        <w:rPr>
          <w:rFonts w:ascii="Arial" w:hAnsi="Arial" w:cs="Arial"/>
          <w:lang w:val="sv-SE"/>
        </w:rPr>
        <w:t xml:space="preserve"> och den störningssituation som uppstod i tågtrafiken</w:t>
      </w:r>
      <w:r w:rsidRPr="008F3954">
        <w:rPr>
          <w:rFonts w:ascii="Arial" w:hAnsi="Arial" w:cs="Arial"/>
          <w:lang w:val="sv-SE"/>
        </w:rPr>
        <w:t xml:space="preserve"> innan varningslarmen stängdes av för snart tre år sedan. </w:t>
      </w:r>
      <w:r w:rsidR="00D73722" w:rsidRPr="008F3954">
        <w:rPr>
          <w:rFonts w:ascii="Arial" w:hAnsi="Arial" w:cs="Arial"/>
          <w:lang w:val="sv-SE"/>
        </w:rPr>
        <w:t>Men e</w:t>
      </w:r>
      <w:r w:rsidRPr="008F3954">
        <w:rPr>
          <w:rFonts w:ascii="Arial" w:hAnsi="Arial" w:cs="Arial"/>
          <w:lang w:val="sv-SE"/>
        </w:rPr>
        <w:t xml:space="preserve">n väl vald nivå på varningslarmen skulle minska risken för </w:t>
      </w:r>
      <w:r w:rsidR="008F3954" w:rsidRPr="008F3954">
        <w:rPr>
          <w:rFonts w:ascii="Arial" w:hAnsi="Arial" w:cs="Arial"/>
          <w:lang w:val="sv-SE"/>
        </w:rPr>
        <w:t xml:space="preserve">onödiga </w:t>
      </w:r>
      <w:r w:rsidRPr="008F3954">
        <w:rPr>
          <w:rFonts w:ascii="Arial" w:hAnsi="Arial" w:cs="Arial"/>
          <w:lang w:val="sv-SE"/>
        </w:rPr>
        <w:t xml:space="preserve">stopp på linjen vilket skulle underlätta för både Trafikverket och </w:t>
      </w:r>
      <w:r w:rsidR="009944E7" w:rsidRPr="008F3954">
        <w:rPr>
          <w:rFonts w:ascii="Arial" w:hAnsi="Arial" w:cs="Arial"/>
          <w:lang w:val="sv-SE"/>
        </w:rPr>
        <w:t>Järnvägsföretagen</w:t>
      </w:r>
      <w:r w:rsidR="00DF5243" w:rsidRPr="008F3954">
        <w:rPr>
          <w:rFonts w:ascii="Arial" w:hAnsi="Arial" w:cs="Arial"/>
          <w:lang w:val="sv-SE"/>
        </w:rPr>
        <w:t>.</w:t>
      </w:r>
      <w:r w:rsidR="00271C2E" w:rsidRPr="008F3954">
        <w:rPr>
          <w:rFonts w:ascii="Arial" w:hAnsi="Arial" w:cs="Arial"/>
          <w:lang w:val="sv-SE"/>
        </w:rPr>
        <w:t xml:space="preserve"> Nivåerna på varningslarm kan sedan anpassas efter de erfarenheter som erhålls.</w:t>
      </w:r>
    </w:p>
    <w:p w:rsidR="00271C2E" w:rsidRPr="008F3954" w:rsidRDefault="00271C2E">
      <w:pPr>
        <w:rPr>
          <w:rFonts w:ascii="Arial" w:hAnsi="Arial" w:cs="Arial"/>
          <w:lang w:val="sv-SE"/>
        </w:rPr>
      </w:pPr>
      <w:r w:rsidRPr="008F3954">
        <w:rPr>
          <w:rFonts w:ascii="Arial" w:hAnsi="Arial" w:cs="Arial"/>
          <w:lang w:val="sv-SE"/>
        </w:rPr>
        <w:t xml:space="preserve">Varningslarmen har </w:t>
      </w:r>
      <w:r w:rsidR="00464545" w:rsidRPr="008F3954">
        <w:rPr>
          <w:rFonts w:ascii="Arial" w:hAnsi="Arial" w:cs="Arial"/>
          <w:lang w:val="sv-SE"/>
        </w:rPr>
        <w:t xml:space="preserve">också </w:t>
      </w:r>
      <w:r w:rsidRPr="008F3954">
        <w:rPr>
          <w:rFonts w:ascii="Arial" w:hAnsi="Arial" w:cs="Arial"/>
          <w:lang w:val="sv-SE"/>
        </w:rPr>
        <w:t>en möjlighet att förebygga olyckor. Urspårningarna i Grötingen 2011</w:t>
      </w:r>
      <w:r w:rsidR="007F2714" w:rsidRPr="008F3954">
        <w:rPr>
          <w:rFonts w:ascii="Arial" w:hAnsi="Arial" w:cs="Arial"/>
          <w:lang w:val="sv-SE"/>
        </w:rPr>
        <w:noBreakHyphen/>
        <w:t>01</w:t>
      </w:r>
      <w:r w:rsidR="007F2714" w:rsidRPr="008F3954">
        <w:rPr>
          <w:rFonts w:ascii="Arial" w:hAnsi="Arial" w:cs="Arial"/>
          <w:lang w:val="sv-SE"/>
        </w:rPr>
        <w:noBreakHyphen/>
        <w:t>17</w:t>
      </w:r>
      <w:r w:rsidRPr="008F3954">
        <w:rPr>
          <w:rFonts w:ascii="Arial" w:hAnsi="Arial" w:cs="Arial"/>
          <w:lang w:val="sv-SE"/>
        </w:rPr>
        <w:t xml:space="preserve"> </w:t>
      </w:r>
      <w:r w:rsidR="007F2714" w:rsidRPr="008F3954">
        <w:rPr>
          <w:rFonts w:ascii="Arial" w:hAnsi="Arial" w:cs="Arial"/>
          <w:lang w:val="sv-SE"/>
        </w:rPr>
        <w:t>samt</w:t>
      </w:r>
      <w:r w:rsidRPr="008F3954">
        <w:rPr>
          <w:rFonts w:ascii="Arial" w:hAnsi="Arial" w:cs="Arial"/>
          <w:lang w:val="sv-SE"/>
        </w:rPr>
        <w:t xml:space="preserve"> i Tallåsen 2012</w:t>
      </w:r>
      <w:r w:rsidR="007F2714" w:rsidRPr="008F3954">
        <w:rPr>
          <w:rFonts w:ascii="Arial" w:hAnsi="Arial" w:cs="Arial"/>
          <w:lang w:val="sv-SE"/>
        </w:rPr>
        <w:noBreakHyphen/>
        <w:t>02</w:t>
      </w:r>
      <w:r w:rsidR="007F2714" w:rsidRPr="008F3954">
        <w:rPr>
          <w:rFonts w:ascii="Arial" w:hAnsi="Arial" w:cs="Arial"/>
          <w:lang w:val="sv-SE"/>
        </w:rPr>
        <w:noBreakHyphen/>
        <w:t>16</w:t>
      </w:r>
      <w:r w:rsidRPr="008F3954">
        <w:rPr>
          <w:rFonts w:ascii="Arial" w:hAnsi="Arial" w:cs="Arial"/>
          <w:lang w:val="sv-SE"/>
        </w:rPr>
        <w:t xml:space="preserve"> hade båda undvikits om varningslarmen varit i drift</w:t>
      </w:r>
      <w:r w:rsidR="008F3954" w:rsidRPr="008F3954">
        <w:rPr>
          <w:rFonts w:ascii="Arial" w:hAnsi="Arial" w:cs="Arial"/>
          <w:lang w:val="sv-SE"/>
        </w:rPr>
        <w:t xml:space="preserve"> och hanterats på ett kvalificerat sätt av järnvägsföretaget</w:t>
      </w:r>
      <w:r w:rsidRPr="008F3954">
        <w:rPr>
          <w:rFonts w:ascii="Arial" w:hAnsi="Arial" w:cs="Arial"/>
          <w:lang w:val="sv-SE"/>
        </w:rPr>
        <w:t>.</w:t>
      </w:r>
    </w:p>
    <w:p w:rsidR="0074118F" w:rsidRPr="008F3954" w:rsidRDefault="00271C2E" w:rsidP="0074118F">
      <w:pPr>
        <w:spacing w:after="120"/>
        <w:rPr>
          <w:rFonts w:ascii="Arial" w:hAnsi="Arial" w:cs="Arial"/>
          <w:lang w:val="sv-SE"/>
        </w:rPr>
      </w:pPr>
      <w:r w:rsidRPr="008F3954">
        <w:rPr>
          <w:rFonts w:ascii="Arial" w:hAnsi="Arial" w:cs="Arial"/>
          <w:lang w:val="sv-SE"/>
        </w:rPr>
        <w:t xml:space="preserve">Våra erfarenheter av hjulskadedetektorerna </w:t>
      </w:r>
      <w:r w:rsidR="0074118F" w:rsidRPr="008F3954">
        <w:rPr>
          <w:rFonts w:ascii="Arial" w:hAnsi="Arial" w:cs="Arial"/>
          <w:lang w:val="sv-SE"/>
        </w:rPr>
        <w:t>visar att några områden behöver förändras.</w:t>
      </w:r>
    </w:p>
    <w:p w:rsidR="0074118F" w:rsidRPr="008F3954" w:rsidRDefault="008F3954" w:rsidP="0074118F">
      <w:pPr>
        <w:pStyle w:val="Liststycke"/>
        <w:numPr>
          <w:ilvl w:val="0"/>
          <w:numId w:val="2"/>
        </w:numPr>
        <w:rPr>
          <w:rFonts w:ascii="Arial" w:hAnsi="Arial" w:cs="Arial"/>
          <w:lang w:val="sv-SE"/>
        </w:rPr>
      </w:pPr>
      <w:r>
        <w:rPr>
          <w:rFonts w:ascii="Arial" w:hAnsi="Arial" w:cs="Arial"/>
          <w:lang w:val="sv-SE"/>
        </w:rPr>
        <w:t>Noggrannheten</w:t>
      </w:r>
      <w:r w:rsidR="0074118F" w:rsidRPr="008F3954">
        <w:rPr>
          <w:rFonts w:ascii="Arial" w:hAnsi="Arial" w:cs="Arial"/>
          <w:lang w:val="sv-SE"/>
        </w:rPr>
        <w:t xml:space="preserve"> på uppmä</w:t>
      </w:r>
      <w:r w:rsidR="00CB1230">
        <w:rPr>
          <w:rFonts w:ascii="Arial" w:hAnsi="Arial" w:cs="Arial"/>
          <w:lang w:val="sv-SE"/>
        </w:rPr>
        <w:t>tta krafter behöver förbättras.</w:t>
      </w:r>
    </w:p>
    <w:p w:rsidR="00212483" w:rsidRPr="008F3954" w:rsidRDefault="0074118F" w:rsidP="0074118F">
      <w:pPr>
        <w:pStyle w:val="Liststycke"/>
        <w:numPr>
          <w:ilvl w:val="0"/>
          <w:numId w:val="2"/>
        </w:numPr>
        <w:rPr>
          <w:rFonts w:ascii="Arial" w:hAnsi="Arial" w:cs="Arial"/>
          <w:lang w:val="sv-SE"/>
        </w:rPr>
      </w:pPr>
      <w:r w:rsidRPr="008F3954">
        <w:rPr>
          <w:rFonts w:ascii="Arial" w:hAnsi="Arial" w:cs="Arial"/>
          <w:lang w:val="sv-SE"/>
        </w:rPr>
        <w:t xml:space="preserve">Anläggningens förmåga att identifiera rätt tågnummer och </w:t>
      </w:r>
      <w:r w:rsidR="00D73722" w:rsidRPr="008F3954">
        <w:rPr>
          <w:rFonts w:ascii="Arial" w:hAnsi="Arial" w:cs="Arial"/>
          <w:lang w:val="sv-SE"/>
        </w:rPr>
        <w:t xml:space="preserve">rätt </w:t>
      </w:r>
      <w:r w:rsidRPr="008F3954">
        <w:rPr>
          <w:rFonts w:ascii="Arial" w:hAnsi="Arial" w:cs="Arial"/>
          <w:lang w:val="sv-SE"/>
        </w:rPr>
        <w:t>järnvägsföretag behöver vidareutvecklas.</w:t>
      </w:r>
    </w:p>
    <w:p w:rsidR="00663866" w:rsidRPr="008F3954" w:rsidRDefault="00B53B37">
      <w:pPr>
        <w:rPr>
          <w:rFonts w:ascii="Arial" w:hAnsi="Arial" w:cs="Arial"/>
          <w:lang w:val="sv-SE"/>
        </w:rPr>
      </w:pPr>
      <w:r w:rsidRPr="008F3954">
        <w:rPr>
          <w:rFonts w:ascii="Arial" w:hAnsi="Arial" w:cs="Arial"/>
          <w:lang w:val="sv-SE"/>
        </w:rPr>
        <w:t>R</w:t>
      </w:r>
      <w:r w:rsidR="009D4115" w:rsidRPr="008F3954">
        <w:rPr>
          <w:rFonts w:ascii="Arial" w:hAnsi="Arial" w:cs="Arial"/>
          <w:lang w:val="sv-SE"/>
        </w:rPr>
        <w:t>egler</w:t>
      </w:r>
      <w:r w:rsidRPr="008F3954">
        <w:rPr>
          <w:rFonts w:ascii="Arial" w:hAnsi="Arial" w:cs="Arial"/>
          <w:lang w:val="sv-SE"/>
        </w:rPr>
        <w:t>na</w:t>
      </w:r>
      <w:r w:rsidR="009D4115" w:rsidRPr="008F3954">
        <w:rPr>
          <w:rFonts w:ascii="Arial" w:hAnsi="Arial" w:cs="Arial"/>
          <w:lang w:val="sv-SE"/>
        </w:rPr>
        <w:t xml:space="preserve"> i andra </w:t>
      </w:r>
      <w:r w:rsidR="009944E7" w:rsidRPr="008F3954">
        <w:rPr>
          <w:rFonts w:ascii="Arial" w:hAnsi="Arial" w:cs="Arial"/>
          <w:lang w:val="sv-SE"/>
        </w:rPr>
        <w:t>Trafikverk</w:t>
      </w:r>
      <w:r w:rsidR="009D4115" w:rsidRPr="008F3954">
        <w:rPr>
          <w:rFonts w:ascii="Arial" w:hAnsi="Arial" w:cs="Arial"/>
          <w:lang w:val="sv-SE"/>
        </w:rPr>
        <w:t xml:space="preserve">sdokument, exempelvis </w:t>
      </w:r>
      <w:r w:rsidR="009944E7" w:rsidRPr="008F3954">
        <w:rPr>
          <w:rFonts w:ascii="Arial" w:hAnsi="Arial" w:cs="Arial"/>
          <w:lang w:val="sv-SE"/>
        </w:rPr>
        <w:t>BVF 592.11</w:t>
      </w:r>
      <w:r w:rsidR="009D4115" w:rsidRPr="008F3954">
        <w:rPr>
          <w:rFonts w:ascii="Arial" w:hAnsi="Arial" w:cs="Arial"/>
          <w:lang w:val="sv-SE"/>
        </w:rPr>
        <w:t>, behöver anpassas för att undvika motstridiga</w:t>
      </w:r>
      <w:r w:rsidRPr="008F3954">
        <w:rPr>
          <w:rFonts w:ascii="Arial" w:hAnsi="Arial" w:cs="Arial"/>
          <w:lang w:val="sv-SE"/>
        </w:rPr>
        <w:t xml:space="preserve"> bestämmelser</w:t>
      </w:r>
      <w:r w:rsidR="009D4115" w:rsidRPr="008F3954">
        <w:rPr>
          <w:rFonts w:ascii="Arial" w:hAnsi="Arial" w:cs="Arial"/>
          <w:lang w:val="sv-SE"/>
        </w:rPr>
        <w:t>.</w:t>
      </w:r>
    </w:p>
    <w:p w:rsidR="007F2714" w:rsidRPr="008F3954" w:rsidRDefault="007F2714">
      <w:pPr>
        <w:rPr>
          <w:rFonts w:ascii="Arial" w:hAnsi="Arial" w:cs="Arial"/>
          <w:lang w:val="sv-SE"/>
        </w:rPr>
      </w:pPr>
      <w:r w:rsidRPr="008F3954">
        <w:rPr>
          <w:rFonts w:ascii="Arial" w:hAnsi="Arial" w:cs="Arial"/>
          <w:lang w:val="sv-SE"/>
        </w:rPr>
        <w:t xml:space="preserve">Vi föreslår att frågor rörande </w:t>
      </w:r>
      <w:r w:rsidR="00B53B37" w:rsidRPr="008F3954">
        <w:rPr>
          <w:rFonts w:ascii="Arial" w:hAnsi="Arial" w:cs="Arial"/>
          <w:lang w:val="sv-SE"/>
        </w:rPr>
        <w:t xml:space="preserve">detektorerna och dessas </w:t>
      </w:r>
      <w:r w:rsidRPr="008F3954">
        <w:rPr>
          <w:rFonts w:ascii="Arial" w:hAnsi="Arial" w:cs="Arial"/>
          <w:lang w:val="sv-SE"/>
        </w:rPr>
        <w:t>larm</w:t>
      </w:r>
      <w:r w:rsidR="00B53B37" w:rsidRPr="008F3954">
        <w:rPr>
          <w:rFonts w:ascii="Arial" w:hAnsi="Arial" w:cs="Arial"/>
          <w:lang w:val="sv-SE"/>
        </w:rPr>
        <w:t>funktioner</w:t>
      </w:r>
      <w:r w:rsidRPr="008F3954">
        <w:rPr>
          <w:rFonts w:ascii="Arial" w:hAnsi="Arial" w:cs="Arial"/>
          <w:lang w:val="sv-SE"/>
        </w:rPr>
        <w:t xml:space="preserve"> framöver hanteras av en grupp utsedd av Branschföreningen Tågoperatörerna samt </w:t>
      </w:r>
      <w:r w:rsidR="00C50DD2" w:rsidRPr="008F3954">
        <w:rPr>
          <w:rFonts w:ascii="Arial" w:hAnsi="Arial" w:cs="Arial"/>
          <w:lang w:val="sv-SE"/>
        </w:rPr>
        <w:t>en grupp</w:t>
      </w:r>
      <w:r w:rsidR="008266A9" w:rsidRPr="008F3954">
        <w:rPr>
          <w:rFonts w:ascii="Arial" w:hAnsi="Arial" w:cs="Arial"/>
          <w:lang w:val="sv-SE"/>
        </w:rPr>
        <w:t>,</w:t>
      </w:r>
      <w:r w:rsidR="00C50DD2" w:rsidRPr="008F3954">
        <w:rPr>
          <w:rFonts w:ascii="Arial" w:hAnsi="Arial" w:cs="Arial"/>
          <w:lang w:val="sv-SE"/>
        </w:rPr>
        <w:t xml:space="preserve"> eller person</w:t>
      </w:r>
      <w:r w:rsidR="008266A9" w:rsidRPr="008F3954">
        <w:rPr>
          <w:rFonts w:ascii="Arial" w:hAnsi="Arial" w:cs="Arial"/>
          <w:lang w:val="sv-SE"/>
        </w:rPr>
        <w:t>,</w:t>
      </w:r>
      <w:r w:rsidR="00C50DD2" w:rsidRPr="008F3954">
        <w:rPr>
          <w:rFonts w:ascii="Arial" w:hAnsi="Arial" w:cs="Arial"/>
          <w:lang w:val="sv-SE"/>
        </w:rPr>
        <w:t xml:space="preserve"> hos Trafikverket som har mandat att genomföra förändringar.</w:t>
      </w:r>
    </w:p>
    <w:p w:rsidR="00D92878" w:rsidRDefault="00DB1855">
      <w:pPr>
        <w:rPr>
          <w:rFonts w:ascii="Arial" w:hAnsi="Arial" w:cs="Arial"/>
          <w:lang w:val="sv-SE"/>
        </w:rPr>
      </w:pPr>
      <w:r w:rsidRPr="008F3954">
        <w:rPr>
          <w:rFonts w:ascii="Arial" w:hAnsi="Arial" w:cs="Arial"/>
          <w:lang w:val="sv-SE"/>
        </w:rPr>
        <w:t>Stoppande fel på linje</w:t>
      </w:r>
      <w:r w:rsidR="00EA409B" w:rsidRPr="008F3954">
        <w:rPr>
          <w:rFonts w:ascii="Arial" w:hAnsi="Arial" w:cs="Arial"/>
          <w:lang w:val="sv-SE"/>
        </w:rPr>
        <w:t>n skapar stora problem för alla.</w:t>
      </w:r>
      <w:r w:rsidRPr="008F3954">
        <w:rPr>
          <w:rFonts w:ascii="Arial" w:hAnsi="Arial" w:cs="Arial"/>
          <w:lang w:val="sv-SE"/>
        </w:rPr>
        <w:t xml:space="preserve"> </w:t>
      </w:r>
      <w:r w:rsidR="00EA409B" w:rsidRPr="008F3954">
        <w:rPr>
          <w:rFonts w:ascii="Arial" w:hAnsi="Arial" w:cs="Arial"/>
          <w:lang w:val="sv-SE"/>
        </w:rPr>
        <w:t>R</w:t>
      </w:r>
      <w:r w:rsidRPr="008F3954">
        <w:rPr>
          <w:rFonts w:ascii="Arial" w:hAnsi="Arial" w:cs="Arial"/>
          <w:lang w:val="sv-SE"/>
        </w:rPr>
        <w:t xml:space="preserve">esenärer, trafikledning, järnvägsföretag och godskunder. Andelen stoppande fel till följd av uppmätt hjulskada skulle reduceras om </w:t>
      </w:r>
      <w:r w:rsidR="00EA409B" w:rsidRPr="008F3954">
        <w:rPr>
          <w:rFonts w:ascii="Arial" w:hAnsi="Arial" w:cs="Arial"/>
          <w:lang w:val="sv-SE"/>
        </w:rPr>
        <w:t>fler fa</w:t>
      </w:r>
      <w:r w:rsidR="00D83A51" w:rsidRPr="008F3954">
        <w:rPr>
          <w:rFonts w:ascii="Arial" w:hAnsi="Arial" w:cs="Arial"/>
          <w:lang w:val="sv-SE"/>
        </w:rPr>
        <w:t>ktorer vägdes in i bedömningen. Exempelvis skulle hjul med låga axellaster tillåtas gå till slutstation även om en hjulplatta översteg gränsvärdet.</w:t>
      </w:r>
    </w:p>
    <w:p w:rsidR="00D92878" w:rsidRDefault="00D92878">
      <w:pPr>
        <w:rPr>
          <w:rFonts w:ascii="Arial" w:hAnsi="Arial" w:cs="Arial"/>
          <w:lang w:val="sv-SE"/>
        </w:rPr>
      </w:pPr>
    </w:p>
    <w:p w:rsidR="00D92878" w:rsidRDefault="00D92878">
      <w:pPr>
        <w:rPr>
          <w:rFonts w:ascii="Arial" w:hAnsi="Arial" w:cs="Arial"/>
          <w:lang w:val="sv-SE"/>
        </w:rPr>
      </w:pPr>
      <w:r>
        <w:rPr>
          <w:rFonts w:ascii="Arial" w:hAnsi="Arial" w:cs="Arial"/>
          <w:lang w:val="sv-SE"/>
        </w:rPr>
        <w:t>Branschföreningen Tågoperatörerna</w:t>
      </w:r>
    </w:p>
    <w:p w:rsidR="00D92878" w:rsidRDefault="00082592">
      <w:pPr>
        <w:rPr>
          <w:rFonts w:ascii="Arial" w:hAnsi="Arial" w:cs="Arial"/>
          <w:lang w:val="sv-SE"/>
        </w:rPr>
      </w:pPr>
      <w:r>
        <w:rPr>
          <w:rFonts w:ascii="Arial" w:hAnsi="Arial" w:cs="Arial"/>
          <w:noProof/>
          <w:lang w:val="sv-SE" w:eastAsia="sv-SE"/>
        </w:rPr>
        <w:drawing>
          <wp:inline distT="0" distB="0" distL="0" distR="0">
            <wp:extent cx="2299297" cy="600075"/>
            <wp:effectExtent l="0" t="0" r="6350" b="0"/>
            <wp:docPr id="2" name="Bildobjekt 2" descr="V:\BTO\Bilder - loggor - namntecknngar\Namnteckningar\Christel Wi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BTO\Bilder - loggor - namntecknngar\Namnteckningar\Christel Wima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9297" cy="600075"/>
                    </a:xfrm>
                    <a:prstGeom prst="rect">
                      <a:avLst/>
                    </a:prstGeom>
                    <a:noFill/>
                    <a:ln>
                      <a:noFill/>
                    </a:ln>
                  </pic:spPr>
                </pic:pic>
              </a:graphicData>
            </a:graphic>
          </wp:inline>
        </w:drawing>
      </w:r>
    </w:p>
    <w:p w:rsidR="00D92878" w:rsidRDefault="00D92878">
      <w:pPr>
        <w:rPr>
          <w:rFonts w:ascii="Arial" w:hAnsi="Arial" w:cs="Arial"/>
          <w:lang w:val="sv-SE"/>
        </w:rPr>
      </w:pPr>
      <w:r>
        <w:rPr>
          <w:rFonts w:ascii="Arial" w:hAnsi="Arial" w:cs="Arial"/>
          <w:lang w:val="sv-SE"/>
        </w:rPr>
        <w:t>Christel Wiman</w:t>
      </w:r>
    </w:p>
    <w:p w:rsidR="00D92878" w:rsidRDefault="00D92878">
      <w:pPr>
        <w:rPr>
          <w:rFonts w:ascii="Arial" w:hAnsi="Arial" w:cs="Arial"/>
          <w:lang w:val="sv-SE"/>
        </w:rPr>
        <w:sectPr w:rsidR="00D92878" w:rsidSect="00CB4273">
          <w:footerReference w:type="default" r:id="rId12"/>
          <w:pgSz w:w="11906" w:h="16838"/>
          <w:pgMar w:top="1417" w:right="1417" w:bottom="1417" w:left="1417" w:header="708" w:footer="708" w:gutter="0"/>
          <w:cols w:space="708"/>
          <w:docGrid w:linePitch="360"/>
        </w:sectPr>
      </w:pPr>
      <w:r>
        <w:rPr>
          <w:rFonts w:ascii="Arial" w:hAnsi="Arial" w:cs="Arial"/>
          <w:lang w:val="sv-SE"/>
        </w:rPr>
        <w:t>VD</w:t>
      </w:r>
    </w:p>
    <w:p w:rsidR="00D92878" w:rsidRDefault="00D92878" w:rsidP="00D92878">
      <w:pPr>
        <w:rPr>
          <w:lang w:val="sv-SE"/>
        </w:rPr>
      </w:pPr>
      <w:r>
        <w:rPr>
          <w:lang w:val="sv-SE"/>
        </w:rPr>
        <w:t>Bilaga</w:t>
      </w:r>
    </w:p>
    <w:p w:rsidR="00D92878" w:rsidRPr="00DA2018" w:rsidRDefault="00D92878" w:rsidP="00D92878">
      <w:pPr>
        <w:rPr>
          <w:b/>
          <w:lang w:val="sv-SE"/>
        </w:rPr>
      </w:pPr>
      <w:r w:rsidRPr="00DA2018">
        <w:rPr>
          <w:b/>
          <w:lang w:val="sv-SE"/>
        </w:rPr>
        <w:t>Förslag till formulering av BVS 1586.68</w:t>
      </w:r>
    </w:p>
    <w:p w:rsidR="00D92878" w:rsidRPr="00DA2018" w:rsidRDefault="00D92878" w:rsidP="00D92878">
      <w:pPr>
        <w:rPr>
          <w:lang w:val="sv-SE"/>
        </w:rPr>
      </w:pPr>
    </w:p>
    <w:p w:rsidR="00D92878" w:rsidRPr="00DA2018" w:rsidRDefault="00D92878" w:rsidP="00D92878">
      <w:pPr>
        <w:rPr>
          <w:lang w:val="sv-SE"/>
        </w:rPr>
      </w:pPr>
      <w:r w:rsidRPr="00DA2018">
        <w:rPr>
          <w:lang w:val="sv-SE"/>
        </w:rPr>
        <w:t>1</w:t>
      </w:r>
      <w:r w:rsidRPr="00DA2018">
        <w:rPr>
          <w:lang w:val="sv-SE"/>
        </w:rPr>
        <w:tab/>
        <w:t>Syfte</w:t>
      </w:r>
    </w:p>
    <w:p w:rsidR="00D92878" w:rsidRPr="00DA2018" w:rsidRDefault="00D92878" w:rsidP="00D92878">
      <w:pPr>
        <w:rPr>
          <w:lang w:val="sv-SE"/>
        </w:rPr>
      </w:pPr>
      <w:r w:rsidRPr="00DA2018">
        <w:rPr>
          <w:lang w:val="sv-SE"/>
        </w:rPr>
        <w:t xml:space="preserve">Syftet med dokumentet är att bestämma vilka åtgärder som ska vidtas i samband med befarade hjulskador samt vid larm från hjulskadedetektorer. Beträffande hantering av larm från hjulskadedetektorer, se BVF 592.11 </w:t>
      </w:r>
      <w:bookmarkStart w:id="0" w:name="OLE_LINK1"/>
      <w:bookmarkStart w:id="1" w:name="OLE_LINK2"/>
      <w:r w:rsidRPr="00DA2018">
        <w:rPr>
          <w:i/>
          <w:lang w:val="sv-SE"/>
        </w:rPr>
        <w:t>Detektorer – Hantering av larm från stationära detektorer för övervakning av järnvägsfordon</w:t>
      </w:r>
      <w:bookmarkEnd w:id="0"/>
      <w:bookmarkEnd w:id="1"/>
      <w:r w:rsidRPr="00DA2018">
        <w:rPr>
          <w:lang w:val="sv-SE"/>
        </w:rPr>
        <w:t>.</w:t>
      </w:r>
    </w:p>
    <w:p w:rsidR="00D92878" w:rsidRPr="00DA2018" w:rsidRDefault="00D92878" w:rsidP="00D92878">
      <w:pPr>
        <w:rPr>
          <w:lang w:val="sv-SE"/>
        </w:rPr>
      </w:pPr>
      <w:r w:rsidRPr="00DA2018">
        <w:rPr>
          <w:lang w:val="sv-SE"/>
        </w:rPr>
        <w:t>Detta dokument ingår i Trafikverkets säkerhetsstyrningssystem för järnväg.</w:t>
      </w:r>
    </w:p>
    <w:p w:rsidR="00D92878" w:rsidRPr="00DA2018" w:rsidRDefault="00D92878" w:rsidP="00D92878">
      <w:pPr>
        <w:rPr>
          <w:lang w:val="sv-SE"/>
        </w:rPr>
      </w:pPr>
      <w:r w:rsidRPr="00DA2018">
        <w:rPr>
          <w:lang w:val="sv-SE"/>
        </w:rPr>
        <w:t>2</w:t>
      </w:r>
      <w:r w:rsidRPr="00DA2018">
        <w:rPr>
          <w:lang w:val="sv-SE"/>
        </w:rPr>
        <w:tab/>
        <w:t>Omfattning</w:t>
      </w:r>
    </w:p>
    <w:p w:rsidR="00D92878" w:rsidRPr="00DA2018" w:rsidRDefault="00D92878" w:rsidP="00D92878">
      <w:pPr>
        <w:rPr>
          <w:lang w:val="sv-SE"/>
        </w:rPr>
      </w:pPr>
      <w:r w:rsidRPr="00DA2018">
        <w:rPr>
          <w:lang w:val="sv-SE"/>
        </w:rPr>
        <w:t xml:space="preserve">Denna standard ansluter sig till Järnvägsstyrelsens trafikföreskrifter (JTF), bilaga 6, avsnitt 1.2 </w:t>
      </w:r>
      <w:r w:rsidRPr="00DA2018">
        <w:rPr>
          <w:i/>
          <w:lang w:val="sv-SE"/>
        </w:rPr>
        <w:t>Hjulskador och föremål på banan</w:t>
      </w:r>
      <w:r w:rsidRPr="00DA2018">
        <w:rPr>
          <w:lang w:val="sv-SE"/>
        </w:rPr>
        <w:t xml:space="preserve"> </w:t>
      </w:r>
      <w:r>
        <w:rPr>
          <w:rStyle w:val="Fotnotsreferens"/>
        </w:rPr>
        <w:footnoteReference w:id="1"/>
      </w:r>
      <w:r w:rsidRPr="00DA2018">
        <w:rPr>
          <w:lang w:val="sv-SE"/>
        </w:rPr>
        <w:t>. Standarden riktas sig främst till tågklarerare, tillsyningsmän förare, banförvaltare och ansvarig spårentreprenör. Järnvägsföretagen ska ha regler som är baserade på denna standard och som vänder sig till egen personal.</w:t>
      </w:r>
    </w:p>
    <w:p w:rsidR="00D92878" w:rsidRPr="00DA2018" w:rsidRDefault="00D92878" w:rsidP="00D92878">
      <w:pPr>
        <w:rPr>
          <w:lang w:val="sv-SE"/>
        </w:rPr>
      </w:pPr>
      <w:r w:rsidRPr="00DA2018">
        <w:rPr>
          <w:lang w:val="sv-SE"/>
        </w:rPr>
        <w:t>Bestämmelserna gäller vid tågfärd och spärrfärd.</w:t>
      </w:r>
    </w:p>
    <w:p w:rsidR="00D92878" w:rsidRPr="00DA2018" w:rsidRDefault="00D92878" w:rsidP="00D92878">
      <w:pPr>
        <w:rPr>
          <w:lang w:val="sv-SE"/>
        </w:rPr>
      </w:pPr>
      <w:r w:rsidRPr="00DA2018">
        <w:rPr>
          <w:lang w:val="sv-SE"/>
        </w:rPr>
        <w:t>3</w:t>
      </w:r>
      <w:r w:rsidRPr="00DA2018">
        <w:rPr>
          <w:lang w:val="sv-SE"/>
        </w:rPr>
        <w:tab/>
        <w:t>Definitioner</w:t>
      </w:r>
    </w:p>
    <w:p w:rsidR="00D92878" w:rsidRDefault="00D92878" w:rsidP="00D92878">
      <w:r w:rsidRPr="00DA2018">
        <w:rPr>
          <w:lang w:val="sv-SE"/>
        </w:rPr>
        <w:t xml:space="preserve">Termerna tågklarerare, tillsyningsman, förare, tågfärd, spärrfärd och bevakningssträcka används med de definitioner som finns i JTF, bilaga 1. </w:t>
      </w:r>
      <w:r>
        <w:t>I övrigt används följande termer med de angivna definitionerna:</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36"/>
      </w:tblGrid>
      <w:tr w:rsidR="00D92878" w:rsidRPr="00D92878" w:rsidTr="009F755D">
        <w:tc>
          <w:tcPr>
            <w:tcW w:w="2376" w:type="dxa"/>
          </w:tcPr>
          <w:p w:rsidR="00D92878" w:rsidRDefault="00D92878" w:rsidP="009F755D">
            <w:pPr>
              <w:spacing w:before="60" w:after="60"/>
            </w:pPr>
            <w:r>
              <w:t>Banförvaltare</w:t>
            </w:r>
          </w:p>
        </w:tc>
        <w:tc>
          <w:tcPr>
            <w:tcW w:w="6836" w:type="dxa"/>
          </w:tcPr>
          <w:p w:rsidR="00D92878" w:rsidRDefault="00D92878" w:rsidP="009F755D">
            <w:pPr>
              <w:spacing w:before="60" w:after="60"/>
            </w:pPr>
            <w:r>
              <w:t>Banansvarig inom resp. underhållsområde vid Trafikverket</w:t>
            </w:r>
          </w:p>
        </w:tc>
      </w:tr>
      <w:tr w:rsidR="00D92878" w:rsidTr="009F755D">
        <w:tc>
          <w:tcPr>
            <w:tcW w:w="2376" w:type="dxa"/>
          </w:tcPr>
          <w:p w:rsidR="00D92878" w:rsidRDefault="00D92878" w:rsidP="009F755D">
            <w:pPr>
              <w:spacing w:before="60" w:after="60"/>
            </w:pPr>
            <w:r>
              <w:t>Hjulskadedetektor</w:t>
            </w:r>
          </w:p>
        </w:tc>
        <w:tc>
          <w:tcPr>
            <w:tcW w:w="6836" w:type="dxa"/>
          </w:tcPr>
          <w:p w:rsidR="00D92878" w:rsidRDefault="00D92878" w:rsidP="009F755D">
            <w:pPr>
              <w:spacing w:before="60" w:after="60"/>
            </w:pPr>
            <w:r>
              <w:t>Stationär utrustning i spår; mäter den kraft som ett hjul på ett spårfordon påverkar rälsen med. Vid förutbestämda nivåer ges larm till tågklareraren.</w:t>
            </w:r>
          </w:p>
        </w:tc>
      </w:tr>
      <w:tr w:rsidR="00D92878" w:rsidRPr="00D92878" w:rsidTr="009F755D">
        <w:tc>
          <w:tcPr>
            <w:tcW w:w="2376" w:type="dxa"/>
          </w:tcPr>
          <w:p w:rsidR="00D92878" w:rsidRDefault="00D92878" w:rsidP="009F755D">
            <w:pPr>
              <w:spacing w:before="60" w:after="60"/>
            </w:pPr>
            <w:r>
              <w:t>Hjulplatta</w:t>
            </w:r>
          </w:p>
        </w:tc>
        <w:tc>
          <w:tcPr>
            <w:tcW w:w="6836" w:type="dxa"/>
          </w:tcPr>
          <w:p w:rsidR="00D92878" w:rsidRDefault="00D92878" w:rsidP="009F755D">
            <w:pPr>
              <w:spacing w:before="60" w:after="60"/>
            </w:pPr>
            <w:r>
              <w:t>Skada på hjulet i form av en mer eller mindre plan yta, som uppstår då hjulet inte roterar, t.ex. på grund av fastfrysning, nödbromsning eller annat fel, och släpas mot rälsen så att material nöts bort.</w:t>
            </w:r>
          </w:p>
        </w:tc>
      </w:tr>
      <w:tr w:rsidR="00D92878" w:rsidRPr="00D92878" w:rsidTr="009F755D">
        <w:tc>
          <w:tcPr>
            <w:tcW w:w="2376" w:type="dxa"/>
          </w:tcPr>
          <w:p w:rsidR="00D92878" w:rsidRDefault="00D92878" w:rsidP="009F755D">
            <w:pPr>
              <w:spacing w:before="60" w:after="60"/>
            </w:pPr>
            <w:r>
              <w:t>Hjulringsbeläggning</w:t>
            </w:r>
          </w:p>
        </w:tc>
        <w:tc>
          <w:tcPr>
            <w:tcW w:w="6836" w:type="dxa"/>
          </w:tcPr>
          <w:p w:rsidR="00D92878" w:rsidRDefault="00D92878" w:rsidP="009F755D">
            <w:pPr>
              <w:spacing w:before="60" w:after="60"/>
            </w:pPr>
            <w:r>
              <w:t>Beläggning eller på annat sätt fasttryck eller intryckt hårt material eller föremål på hjulets löpyta.</w:t>
            </w:r>
          </w:p>
        </w:tc>
      </w:tr>
      <w:tr w:rsidR="00D92878" w:rsidRPr="00D92878" w:rsidTr="009F755D">
        <w:tc>
          <w:tcPr>
            <w:tcW w:w="2376" w:type="dxa"/>
          </w:tcPr>
          <w:p w:rsidR="00D92878" w:rsidRDefault="00D92878" w:rsidP="009F755D">
            <w:pPr>
              <w:spacing w:before="60" w:after="60"/>
            </w:pPr>
            <w:r>
              <w:t>Högnivålarm</w:t>
            </w:r>
          </w:p>
        </w:tc>
        <w:tc>
          <w:tcPr>
            <w:tcW w:w="6836" w:type="dxa"/>
          </w:tcPr>
          <w:p w:rsidR="00D92878" w:rsidRDefault="00D92878" w:rsidP="009F755D">
            <w:pPr>
              <w:spacing w:before="60" w:after="60"/>
            </w:pPr>
            <w:r>
              <w:t>Den högsta larmnivån; indikerar att det föreligger akut risk för skada på spåret, se BVF 592.11</w:t>
            </w:r>
          </w:p>
        </w:tc>
      </w:tr>
    </w:tbl>
    <w:p w:rsidR="00D92878" w:rsidRPr="00DA2018" w:rsidRDefault="00D92878" w:rsidP="00D92878">
      <w:pPr>
        <w:rPr>
          <w:lang w:val="sv-SE"/>
        </w:rPr>
      </w:pPr>
    </w:p>
    <w:p w:rsidR="00D92878" w:rsidRPr="00DA2018" w:rsidRDefault="00D92878" w:rsidP="00D92878">
      <w:pPr>
        <w:rPr>
          <w:lang w:val="sv-SE"/>
        </w:rPr>
      </w:pPr>
      <w:r w:rsidRPr="00DA2018">
        <w:rPr>
          <w:lang w:val="sv-SE"/>
        </w:rPr>
        <w:br w:type="page"/>
      </w:r>
    </w:p>
    <w:p w:rsidR="00D92878" w:rsidRPr="00DA2018" w:rsidRDefault="00D92878" w:rsidP="00D92878">
      <w:pPr>
        <w:rPr>
          <w:lang w:val="sv-SE"/>
        </w:rPr>
      </w:pPr>
      <w:r w:rsidRPr="00DA2018">
        <w:rPr>
          <w:lang w:val="sv-SE"/>
        </w:rPr>
        <w:t>4</w:t>
      </w:r>
      <w:r w:rsidRPr="00DA2018">
        <w:rPr>
          <w:lang w:val="sv-SE"/>
        </w:rPr>
        <w:tab/>
        <w:t>Ansvar</w:t>
      </w:r>
    </w:p>
    <w:p w:rsidR="00D92878" w:rsidRPr="00DA2018" w:rsidRDefault="00D92878" w:rsidP="00D92878">
      <w:pPr>
        <w:rPr>
          <w:lang w:val="sv-SE"/>
        </w:rPr>
      </w:pPr>
      <w:r w:rsidRPr="00DA2018">
        <w:rPr>
          <w:lang w:val="sv-SE"/>
        </w:rPr>
        <w:t>Ansvaret för att denna standard är uppdaterad och implementerad åvilar chefen för den organisatoriska enhet som enligt Trafikverkets arbetsordning svarar för att förvalta och utveckla det tekniska regelverket för bansystem. Frågor om innehåll och förslag på förbättringar ställs i första hand till denne.</w:t>
      </w:r>
    </w:p>
    <w:p w:rsidR="00D92878" w:rsidRPr="00DA2018" w:rsidRDefault="00D92878" w:rsidP="00D92878">
      <w:pPr>
        <w:rPr>
          <w:lang w:val="sv-SE"/>
        </w:rPr>
      </w:pPr>
      <w:r w:rsidRPr="00DA2018">
        <w:rPr>
          <w:lang w:val="sv-SE"/>
        </w:rPr>
        <w:t>5</w:t>
      </w:r>
      <w:r w:rsidRPr="00DA2018">
        <w:rPr>
          <w:lang w:val="sv-SE"/>
        </w:rPr>
        <w:tab/>
        <w:t>Åtgärder vid konstaterad eller befarad hjulskada</w:t>
      </w:r>
    </w:p>
    <w:p w:rsidR="00D92878" w:rsidRPr="00DA2018" w:rsidRDefault="00D92878" w:rsidP="00D92878">
      <w:pPr>
        <w:rPr>
          <w:lang w:val="sv-SE"/>
        </w:rPr>
      </w:pPr>
      <w:r w:rsidRPr="00DA2018">
        <w:rPr>
          <w:lang w:val="sv-SE"/>
        </w:rPr>
        <w:t>5.1</w:t>
      </w:r>
      <w:r w:rsidRPr="00DA2018">
        <w:rPr>
          <w:lang w:val="sv-SE"/>
        </w:rPr>
        <w:tab/>
        <w:t>Gränsvärde för och åtgärder vid konstaterad hjulskada</w:t>
      </w:r>
    </w:p>
    <w:p w:rsidR="00D92878" w:rsidRPr="00DA2018" w:rsidRDefault="00D92878" w:rsidP="00D92878">
      <w:pPr>
        <w:rPr>
          <w:lang w:val="sv-SE"/>
        </w:rPr>
      </w:pPr>
      <w:r w:rsidRPr="00DA2018">
        <w:rPr>
          <w:lang w:val="sv-SE"/>
        </w:rPr>
        <w:t xml:space="preserve">Gränsvärdet för åtgärder vid hjulskada är </w:t>
      </w:r>
      <w:r w:rsidRPr="00DA2018">
        <w:rPr>
          <w:lang w:val="sv-SE"/>
        </w:rPr>
        <w:br/>
        <w:t xml:space="preserve">60 mm för en hjulplatta och </w:t>
      </w:r>
      <w:r w:rsidRPr="00DA2018">
        <w:rPr>
          <w:lang w:val="sv-SE"/>
        </w:rPr>
        <w:br/>
        <w:t>1 mm för hjulringsbeläggning.</w:t>
      </w:r>
    </w:p>
    <w:p w:rsidR="00D92878" w:rsidRPr="00DA2018" w:rsidRDefault="00D92878" w:rsidP="00D92878">
      <w:pPr>
        <w:rPr>
          <w:lang w:val="sv-SE"/>
        </w:rPr>
      </w:pPr>
      <w:r w:rsidRPr="00DA2018">
        <w:rPr>
          <w:lang w:val="sv-SE"/>
        </w:rPr>
        <w:t>När en förare eller tillsyningsman får reda på eller upptäcker att gränsvärdet för en hjulskada har överskridits, får fordonet framföras med högst 10 km/h och längst till närmast lämpliga driftplats där fordonet kan växlas ur fordonssättet och ställas upp.</w:t>
      </w:r>
    </w:p>
    <w:p w:rsidR="00D92878" w:rsidRPr="00DA2018" w:rsidRDefault="00D92878" w:rsidP="00D92878">
      <w:pPr>
        <w:rPr>
          <w:lang w:val="sv-SE"/>
        </w:rPr>
      </w:pPr>
      <w:r w:rsidRPr="00DA2018">
        <w:rPr>
          <w:lang w:val="sv-SE"/>
        </w:rPr>
        <w:t>5.2</w:t>
      </w:r>
      <w:r w:rsidRPr="00DA2018">
        <w:rPr>
          <w:lang w:val="sv-SE"/>
        </w:rPr>
        <w:tab/>
        <w:t>Gränsvärde för och åtgärder vid högnivålarm från hjulskadedetektor</w:t>
      </w:r>
    </w:p>
    <w:p w:rsidR="00D92878" w:rsidRPr="00DA2018" w:rsidRDefault="00D92878" w:rsidP="00D92878">
      <w:pPr>
        <w:rPr>
          <w:lang w:val="sv-SE"/>
        </w:rPr>
      </w:pPr>
      <w:r w:rsidRPr="00DA2018">
        <w:rPr>
          <w:lang w:val="sv-SE"/>
        </w:rPr>
        <w:t>Vid högnivålarm från hjulskadedetektor ska tågklareraren snarast stoppa färden och underrätta föraren/tillsyningsmannen om högnivålarmet. Därefter gäller följande.</w:t>
      </w:r>
    </w:p>
    <w:p w:rsidR="00D92878" w:rsidRPr="00DA2018" w:rsidRDefault="00D92878" w:rsidP="00D92878">
      <w:pPr>
        <w:rPr>
          <w:lang w:val="sv-SE"/>
        </w:rPr>
      </w:pPr>
      <w:r w:rsidRPr="00DA2018">
        <w:rPr>
          <w:lang w:val="sv-SE"/>
        </w:rPr>
        <w:t>5.2.1</w:t>
      </w:r>
      <w:r w:rsidRPr="00DA2018">
        <w:rPr>
          <w:lang w:val="sv-SE"/>
        </w:rPr>
        <w:tab/>
        <w:t>Vagnaxel, löpaxel på motorvagnsenhet</w:t>
      </w:r>
    </w:p>
    <w:p w:rsidR="00D92878" w:rsidRPr="00DA2018" w:rsidRDefault="00D92878" w:rsidP="00D92878">
      <w:pPr>
        <w:rPr>
          <w:lang w:val="sv-SE"/>
        </w:rPr>
      </w:pPr>
      <w:r w:rsidRPr="00DA2018">
        <w:rPr>
          <w:lang w:val="sv-SE"/>
        </w:rPr>
        <w:t>Fordonssättet får framföras med högst 10 km/h och längst till närmaste lämpliga driftplats där fordonet kan växlas ur fordonsättet och ställas upp.</w:t>
      </w:r>
    </w:p>
    <w:p w:rsidR="00D92878" w:rsidRPr="00DA2018" w:rsidRDefault="00D92878" w:rsidP="00D92878">
      <w:pPr>
        <w:rPr>
          <w:lang w:val="sv-SE"/>
        </w:rPr>
      </w:pPr>
      <w:r w:rsidRPr="00DA2018">
        <w:rPr>
          <w:lang w:val="sv-SE"/>
        </w:rPr>
        <w:t>Tågklareraren ska fastställa denna driftplats enligt lokala anvisningar och efter samråd med järnvägsföretaget.</w:t>
      </w:r>
    </w:p>
    <w:p w:rsidR="00D92878" w:rsidRPr="00DA2018" w:rsidRDefault="00D92878" w:rsidP="00D92878">
      <w:pPr>
        <w:rPr>
          <w:lang w:val="sv-SE"/>
        </w:rPr>
      </w:pPr>
      <w:r w:rsidRPr="00DA2018">
        <w:rPr>
          <w:lang w:val="sv-SE"/>
        </w:rPr>
        <w:t>5.2.2</w:t>
      </w:r>
      <w:r w:rsidRPr="00DA2018">
        <w:rPr>
          <w:lang w:val="sv-SE"/>
        </w:rPr>
        <w:tab/>
        <w:t>Lokaxel, drivaxel på motorvagn och motorvagnsenhet</w:t>
      </w:r>
    </w:p>
    <w:p w:rsidR="00D92878" w:rsidRPr="00DA2018" w:rsidRDefault="00D92878" w:rsidP="00D92878">
      <w:pPr>
        <w:rPr>
          <w:lang w:val="sv-SE"/>
        </w:rPr>
      </w:pPr>
      <w:r w:rsidRPr="00DA2018">
        <w:rPr>
          <w:lang w:val="sv-SE"/>
        </w:rPr>
        <w:t>Om den registrerade kraften från det skadade hjulet överstiger 425 kN, gäller samma som för en vagnaxel, enligt pkt 5.2.1.</w:t>
      </w:r>
    </w:p>
    <w:p w:rsidR="00D92878" w:rsidRPr="00DA2018" w:rsidRDefault="00D92878" w:rsidP="00D92878">
      <w:pPr>
        <w:rPr>
          <w:lang w:val="sv-SE"/>
        </w:rPr>
      </w:pPr>
      <w:r w:rsidRPr="00DA2018">
        <w:rPr>
          <w:lang w:val="sv-SE"/>
        </w:rPr>
        <w:t>Om den registrerade kraften inte överstiger 425 kN, ska tågklareraren uppmana föraren/tillsynings</w:t>
      </w:r>
      <w:r w:rsidRPr="00DA2018">
        <w:rPr>
          <w:lang w:val="sv-SE"/>
        </w:rPr>
        <w:softHyphen/>
        <w:t xml:space="preserve">mannen att okulärt besiktiga löpbanan på det aktuella hjulet. Om synliga skador upptäcks, gäller samma som för en vagnaxel, enligt pkt 5.2.1. </w:t>
      </w:r>
    </w:p>
    <w:p w:rsidR="00D92878" w:rsidRPr="00DA2018" w:rsidRDefault="00D92878" w:rsidP="00D92878">
      <w:pPr>
        <w:rPr>
          <w:lang w:val="sv-SE"/>
        </w:rPr>
      </w:pPr>
      <w:r w:rsidRPr="00DA2018">
        <w:rPr>
          <w:lang w:val="sv-SE"/>
        </w:rPr>
        <w:t>Om föraren/tillsyningsmannen inte kan upptäcka några synliga skador och anmäler detta till tågklareraren, får denne medge att fordonssättet får fortsätta med begränsad hastighet. Fordonssättets största tillåtna hastighet får inte överstiga den hastighet som ligger 20 % lägre än den som fordonssättet höll vid passage av den larmande detektorn. Tågklareraren ska meddela järnvägsföretaget, som ska ombesörja att berörda förare underrättas om den begränsade hastigheten, fram till dess att fordonet har undersökts och åtgärdats på verkstad.</w:t>
      </w:r>
    </w:p>
    <w:p w:rsidR="00D92878" w:rsidRPr="00DA2018" w:rsidRDefault="00D92878" w:rsidP="00D92878">
      <w:pPr>
        <w:rPr>
          <w:i/>
          <w:lang w:val="sv-SE"/>
        </w:rPr>
      </w:pPr>
      <w:r w:rsidRPr="00DA2018">
        <w:rPr>
          <w:i/>
          <w:lang w:val="sv-SE"/>
        </w:rPr>
        <w:br w:type="page"/>
      </w:r>
    </w:p>
    <w:p w:rsidR="00D92878" w:rsidRPr="00DA2018" w:rsidRDefault="00D92878" w:rsidP="00D92878">
      <w:pPr>
        <w:rPr>
          <w:lang w:val="sv-SE"/>
        </w:rPr>
      </w:pPr>
      <w:r w:rsidRPr="00DA2018">
        <w:rPr>
          <w:i/>
          <w:lang w:val="sv-SE"/>
        </w:rPr>
        <w:t>Exempel</w:t>
      </w:r>
      <w:r w:rsidRPr="00DA2018">
        <w:rPr>
          <w:lang w:val="sv-SE"/>
        </w:rPr>
        <w:t>: Högnivålarm med utslag på 400 kN från en lokaxel. Tåget passerade detektorn med 82 km/tim. Föraren kan upptäcka några synliga skador. Tågklareraren meddelar järnvägsföretaget att loket kan fortsätta med hastigheten begränsad till 50 km/tim (vilket är 82 km/h – 16,4 km/tim, avrundat nedåt till närmaste 10-tals km/tim.)</w:t>
      </w:r>
    </w:p>
    <w:p w:rsidR="00D92878" w:rsidRPr="00DA2018" w:rsidRDefault="00D92878" w:rsidP="00D92878">
      <w:pPr>
        <w:rPr>
          <w:lang w:val="sv-SE"/>
        </w:rPr>
      </w:pPr>
      <w:r w:rsidRPr="00DA2018">
        <w:rPr>
          <w:lang w:val="sv-SE"/>
        </w:rPr>
        <w:t>5.3</w:t>
      </w:r>
      <w:r w:rsidRPr="00DA2018">
        <w:rPr>
          <w:lang w:val="sv-SE"/>
        </w:rPr>
        <w:tab/>
        <w:t>Vidare transport av skadat fordon</w:t>
      </w:r>
    </w:p>
    <w:p w:rsidR="00D92878" w:rsidRPr="00DA2018" w:rsidRDefault="00D92878" w:rsidP="00D92878">
      <w:pPr>
        <w:rPr>
          <w:lang w:val="sv-SE"/>
        </w:rPr>
      </w:pPr>
      <w:r w:rsidRPr="00DA2018">
        <w:rPr>
          <w:lang w:val="sv-SE"/>
        </w:rPr>
        <w:t>Vidare transport från en uppställningsplats av fordon med skadat hjul får ske först sedan järnvägsföretaget har samrått med banförvaltaren.</w:t>
      </w:r>
    </w:p>
    <w:p w:rsidR="00D92878" w:rsidRPr="00DA2018" w:rsidRDefault="00D92878" w:rsidP="00D92878">
      <w:pPr>
        <w:rPr>
          <w:lang w:val="sv-SE"/>
        </w:rPr>
      </w:pPr>
      <w:r w:rsidRPr="00DA2018">
        <w:rPr>
          <w:lang w:val="sv-SE"/>
        </w:rPr>
        <w:t>5.4</w:t>
      </w:r>
      <w:r w:rsidRPr="00DA2018">
        <w:rPr>
          <w:lang w:val="sv-SE"/>
        </w:rPr>
        <w:tab/>
        <w:t>Avsyning av banan</w:t>
      </w:r>
    </w:p>
    <w:p w:rsidR="00D92878" w:rsidRPr="00DA2018" w:rsidRDefault="00D92878" w:rsidP="00D92878">
      <w:pPr>
        <w:rPr>
          <w:lang w:val="sv-SE"/>
        </w:rPr>
      </w:pPr>
      <w:r w:rsidRPr="00DA2018">
        <w:rPr>
          <w:lang w:val="sv-SE"/>
        </w:rPr>
        <w:t>Om ett fordon med hjulskada har framförts, ska tågklareraren i följande fall begära att banförvaltaren/spårentreprenören avsynar banan:</w:t>
      </w:r>
    </w:p>
    <w:p w:rsidR="00D92878" w:rsidRPr="00DA2018" w:rsidRDefault="00D92878" w:rsidP="00D92878">
      <w:pPr>
        <w:pStyle w:val="Liststycke"/>
        <w:numPr>
          <w:ilvl w:val="0"/>
          <w:numId w:val="3"/>
        </w:numPr>
        <w:rPr>
          <w:lang w:val="sv-SE"/>
        </w:rPr>
      </w:pPr>
      <w:r w:rsidRPr="00DA2018">
        <w:rPr>
          <w:lang w:val="sv-SE"/>
        </w:rPr>
        <w:t>om misstanke finns att hjulskadan har orsakat rälsbrott</w:t>
      </w:r>
    </w:p>
    <w:p w:rsidR="00D92878" w:rsidRPr="00DA2018" w:rsidRDefault="00D92878" w:rsidP="00D92878">
      <w:pPr>
        <w:pStyle w:val="Liststycke"/>
        <w:numPr>
          <w:ilvl w:val="0"/>
          <w:numId w:val="3"/>
        </w:numPr>
        <w:rPr>
          <w:lang w:val="sv-SE"/>
        </w:rPr>
      </w:pPr>
      <w:r w:rsidRPr="00DA2018">
        <w:rPr>
          <w:lang w:val="sv-SE"/>
        </w:rPr>
        <w:t xml:space="preserve">om registrerad kraft i hjulskadedetektor överstiger 400 kN, eller överstiger 350 kN om omgivningstemperaturen är lägre än –10 </w:t>
      </w:r>
      <w:r w:rsidRPr="00DA2018">
        <w:rPr>
          <w:rFonts w:cstheme="minorHAnsi"/>
          <w:lang w:val="sv-SE"/>
        </w:rPr>
        <w:t>°</w:t>
      </w:r>
      <w:r w:rsidRPr="00DA2018">
        <w:rPr>
          <w:lang w:val="sv-SE"/>
        </w:rPr>
        <w:t xml:space="preserve"> C.</w:t>
      </w:r>
    </w:p>
    <w:p w:rsidR="00D92878" w:rsidRPr="00DA2018" w:rsidRDefault="00D92878" w:rsidP="00D92878">
      <w:pPr>
        <w:rPr>
          <w:lang w:val="sv-SE"/>
        </w:rPr>
      </w:pPr>
      <w:r w:rsidRPr="00DA2018">
        <w:rPr>
          <w:lang w:val="sv-SE"/>
        </w:rPr>
        <w:t>Banförvaltaren/spårentreprenören ska vid behov samråda med tågklareraren och järnvägsföretaget om hur lång sträcka som ska avsynas av den sträcka som fordonet har framförts. Avsyning ska minst ske på den bevakningssträcka eller driftplats där hjulskadedetektorn är belägen, på den närmast föregående driftplatsen och på den därpå närmast föregående bevakningssträckan. Om en skada upptäcks på en driftplats, ska avsyningen utökas med minst föregående bevakningssträcka och föregående driftplats. Om en skada upptäcks på en bevakningssträcka, ska avsyningen utökas med minst föregående driftplats och föregående bevakningssträcka.</w:t>
      </w:r>
    </w:p>
    <w:p w:rsidR="00D92878" w:rsidRPr="00DA2018" w:rsidRDefault="00D92878" w:rsidP="00D92878">
      <w:pPr>
        <w:rPr>
          <w:lang w:val="sv-SE"/>
        </w:rPr>
      </w:pPr>
      <w:r w:rsidRPr="00DA2018">
        <w:rPr>
          <w:i/>
          <w:lang w:val="sv-SE"/>
        </w:rPr>
        <w:t>Exempel</w:t>
      </w:r>
      <w:r w:rsidRPr="00DA2018">
        <w:rPr>
          <w:lang w:val="sv-SE"/>
        </w:rPr>
        <w:t>: På en bana från A till G finns en hjulskadedetektor mellan driftplatserna F och G. Avsyning ska ske minst av sträckan E–F, driftplatsen F och sträckan F–G. Om en skada upptäcks i F, ska avsyning också ske i D.</w:t>
      </w:r>
    </w:p>
    <w:p w:rsidR="00D92878" w:rsidRPr="00DA2018" w:rsidRDefault="00D92878" w:rsidP="00D92878">
      <w:pPr>
        <w:rPr>
          <w:lang w:val="sv-SE"/>
        </w:rPr>
      </w:pPr>
      <w:r w:rsidRPr="00DA2018">
        <w:rPr>
          <w:lang w:val="sv-SE"/>
        </w:rPr>
        <w:t>Minst ska den be föregående bevakningssträcka avsynas, räknat från hjulskadans upptäckt. Om skada upptäcks, utökas avsyningen med närmast föregående bevakningssträcka där fordonet har framförts.</w:t>
      </w:r>
    </w:p>
    <w:p w:rsidR="00D92878" w:rsidRPr="00DA2018" w:rsidRDefault="00D92878" w:rsidP="00D92878">
      <w:pPr>
        <w:rPr>
          <w:lang w:val="sv-SE"/>
        </w:rPr>
      </w:pPr>
      <w:r w:rsidRPr="00DA2018">
        <w:rPr>
          <w:lang w:val="sv-SE"/>
        </w:rPr>
        <w:t>Till dess att banan har avsynats ska tågklareraren orderge tåg och spärrfärd som ska framföras på den berörda sträckan om att den största tillåtna hastigheten är 30 km/tim.</w:t>
      </w:r>
    </w:p>
    <w:p w:rsidR="00D92878" w:rsidRDefault="00D92878" w:rsidP="00D92878">
      <w:r>
        <w:t>6</w:t>
      </w:r>
      <w:r>
        <w:tab/>
        <w:t>Referenser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03"/>
      </w:tblGrid>
      <w:tr w:rsidR="00D92878" w:rsidTr="009F755D">
        <w:tc>
          <w:tcPr>
            <w:tcW w:w="1809" w:type="dxa"/>
          </w:tcPr>
          <w:p w:rsidR="00D92878" w:rsidRDefault="00D92878" w:rsidP="009F755D">
            <w:pPr>
              <w:spacing w:before="60" w:after="60"/>
            </w:pPr>
            <w:r>
              <w:t>JvSFS 2008:7</w:t>
            </w:r>
          </w:p>
        </w:tc>
        <w:tc>
          <w:tcPr>
            <w:tcW w:w="7403" w:type="dxa"/>
          </w:tcPr>
          <w:p w:rsidR="00D92878" w:rsidRDefault="00D92878" w:rsidP="009F755D">
            <w:pPr>
              <w:spacing w:before="60" w:after="60"/>
            </w:pPr>
            <w:r>
              <w:t>Järnvägsstyrelsens trafikföreskrifter</w:t>
            </w:r>
          </w:p>
        </w:tc>
      </w:tr>
      <w:tr w:rsidR="00D92878" w:rsidRPr="00D92878" w:rsidTr="009F755D">
        <w:tc>
          <w:tcPr>
            <w:tcW w:w="1809" w:type="dxa"/>
          </w:tcPr>
          <w:p w:rsidR="00D92878" w:rsidRDefault="00D92878" w:rsidP="009F755D">
            <w:pPr>
              <w:spacing w:before="60" w:after="60"/>
            </w:pPr>
            <w:r>
              <w:t>BVF 592.11</w:t>
            </w:r>
          </w:p>
        </w:tc>
        <w:tc>
          <w:tcPr>
            <w:tcW w:w="7403" w:type="dxa"/>
          </w:tcPr>
          <w:p w:rsidR="00D92878" w:rsidRPr="00117A13" w:rsidRDefault="00D92878" w:rsidP="009F755D">
            <w:pPr>
              <w:spacing w:before="60" w:after="60"/>
            </w:pPr>
            <w:r w:rsidRPr="00117A13">
              <w:t>Detektorer – Hantering av larm från stationära detektorer för övervakning av järnvägsfordon.</w:t>
            </w:r>
          </w:p>
        </w:tc>
      </w:tr>
    </w:tbl>
    <w:p w:rsidR="00D92878" w:rsidRPr="00DA2018" w:rsidRDefault="00D92878" w:rsidP="00D92878">
      <w:pPr>
        <w:rPr>
          <w:lang w:val="sv-SE"/>
        </w:rPr>
      </w:pPr>
    </w:p>
    <w:p w:rsidR="00D92878" w:rsidRDefault="00D92878" w:rsidP="00D92878">
      <w:pPr>
        <w:rPr>
          <w:rFonts w:ascii="Arial" w:hAnsi="Arial" w:cs="Arial"/>
          <w:lang w:val="sv-SE"/>
        </w:rPr>
      </w:pPr>
      <w:r>
        <w:rPr>
          <w:rFonts w:ascii="Arial" w:hAnsi="Arial" w:cs="Arial"/>
          <w:lang w:val="sv-SE"/>
        </w:rPr>
        <w:br w:type="page"/>
      </w:r>
    </w:p>
    <w:p w:rsidR="00D92878" w:rsidRPr="00DA2018" w:rsidRDefault="00D92878" w:rsidP="00D92878">
      <w:pPr>
        <w:rPr>
          <w:lang w:val="sv-SE"/>
        </w:rPr>
      </w:pPr>
      <w:r w:rsidRPr="00DA2018">
        <w:rPr>
          <w:lang w:val="sv-SE"/>
        </w:rPr>
        <w:t>SJ, stab Trafiksäkerhet Kvalitet &amp; Miljö, Ulf Pålsson, 2012-11-16</w:t>
      </w:r>
    </w:p>
    <w:p w:rsidR="00D92878" w:rsidRPr="00DA2018" w:rsidRDefault="00D92878" w:rsidP="00D92878">
      <w:pPr>
        <w:rPr>
          <w:b/>
          <w:lang w:val="sv-SE"/>
        </w:rPr>
      </w:pPr>
      <w:r w:rsidRPr="00DA2018">
        <w:rPr>
          <w:b/>
          <w:lang w:val="sv-SE"/>
        </w:rPr>
        <w:t xml:space="preserve">Kommentarer till SJ:s </w:t>
      </w:r>
      <w:r w:rsidRPr="00DA2018">
        <w:rPr>
          <w:b/>
          <w:i/>
          <w:lang w:val="sv-SE"/>
        </w:rPr>
        <w:t>Förslag till formulering av BVS 1586.68</w:t>
      </w:r>
    </w:p>
    <w:p w:rsidR="00D92878" w:rsidRPr="00DA2018" w:rsidRDefault="00D92878" w:rsidP="00D92878">
      <w:pPr>
        <w:rPr>
          <w:lang w:val="sv-SE"/>
        </w:rPr>
      </w:pPr>
    </w:p>
    <w:tbl>
      <w:tblPr>
        <w:tblStyle w:val="Tabellrutnt"/>
        <w:tblW w:w="0" w:type="auto"/>
        <w:tblLook w:val="04A0" w:firstRow="1" w:lastRow="0" w:firstColumn="1" w:lastColumn="0" w:noHBand="0" w:noVBand="1"/>
      </w:tblPr>
      <w:tblGrid>
        <w:gridCol w:w="1242"/>
        <w:gridCol w:w="1134"/>
        <w:gridCol w:w="6836"/>
      </w:tblGrid>
      <w:tr w:rsidR="00D92878" w:rsidTr="009F755D">
        <w:trPr>
          <w:cantSplit/>
          <w:tblHeader/>
        </w:trPr>
        <w:tc>
          <w:tcPr>
            <w:tcW w:w="1242" w:type="dxa"/>
          </w:tcPr>
          <w:p w:rsidR="00D92878" w:rsidRDefault="00D92878" w:rsidP="009F755D">
            <w:pPr>
              <w:spacing w:before="60" w:after="60"/>
            </w:pPr>
            <w:r>
              <w:t>Avsnitt</w:t>
            </w:r>
            <w:r>
              <w:br/>
              <w:t>enl remiss</w:t>
            </w:r>
            <w:r>
              <w:softHyphen/>
              <w:t>förslaget</w:t>
            </w:r>
          </w:p>
        </w:tc>
        <w:tc>
          <w:tcPr>
            <w:tcW w:w="1134" w:type="dxa"/>
          </w:tcPr>
          <w:p w:rsidR="00D92878" w:rsidRDefault="00D92878" w:rsidP="009F755D">
            <w:pPr>
              <w:spacing w:before="60" w:after="60"/>
            </w:pPr>
            <w:r>
              <w:t>Avsnitt enl SJ:s förslag</w:t>
            </w:r>
          </w:p>
        </w:tc>
        <w:tc>
          <w:tcPr>
            <w:tcW w:w="6836" w:type="dxa"/>
          </w:tcPr>
          <w:p w:rsidR="00D92878" w:rsidRDefault="00D92878" w:rsidP="009F755D">
            <w:pPr>
              <w:spacing w:before="60" w:after="60"/>
            </w:pPr>
            <w:r>
              <w:t>Kommentar</w:t>
            </w:r>
          </w:p>
        </w:tc>
      </w:tr>
      <w:tr w:rsidR="00D92878" w:rsidRPr="00D92878" w:rsidTr="009F755D">
        <w:tc>
          <w:tcPr>
            <w:tcW w:w="1242" w:type="dxa"/>
          </w:tcPr>
          <w:p w:rsidR="00D92878" w:rsidRDefault="00D92878" w:rsidP="009F755D">
            <w:pPr>
              <w:spacing w:before="60" w:after="60"/>
            </w:pPr>
            <w:r>
              <w:t>1</w:t>
            </w:r>
          </w:p>
        </w:tc>
        <w:tc>
          <w:tcPr>
            <w:tcW w:w="1134" w:type="dxa"/>
          </w:tcPr>
          <w:p w:rsidR="00D92878" w:rsidRDefault="00D92878" w:rsidP="009F755D">
            <w:pPr>
              <w:spacing w:before="60" w:after="60"/>
            </w:pPr>
            <w:r>
              <w:t>1</w:t>
            </w:r>
          </w:p>
        </w:tc>
        <w:tc>
          <w:tcPr>
            <w:tcW w:w="6836" w:type="dxa"/>
          </w:tcPr>
          <w:p w:rsidR="00D92878" w:rsidRDefault="00D92878" w:rsidP="009F755D">
            <w:pPr>
              <w:spacing w:before="60" w:after="60"/>
            </w:pPr>
            <w:r>
              <w:t>Texten kortad av tydlighetsskäl, med oförändrat sakinnehåll.</w:t>
            </w:r>
          </w:p>
        </w:tc>
      </w:tr>
      <w:tr w:rsidR="00D92878" w:rsidRPr="00D92878" w:rsidTr="009F755D">
        <w:tc>
          <w:tcPr>
            <w:tcW w:w="1242" w:type="dxa"/>
          </w:tcPr>
          <w:p w:rsidR="00D92878" w:rsidRDefault="00D92878" w:rsidP="009F755D">
            <w:pPr>
              <w:spacing w:before="60" w:after="60"/>
            </w:pPr>
            <w:r>
              <w:t>2</w:t>
            </w:r>
          </w:p>
        </w:tc>
        <w:tc>
          <w:tcPr>
            <w:tcW w:w="1134" w:type="dxa"/>
          </w:tcPr>
          <w:p w:rsidR="00D92878" w:rsidRDefault="00D92878" w:rsidP="009F755D">
            <w:pPr>
              <w:spacing w:before="60" w:after="60"/>
            </w:pPr>
            <w:r>
              <w:t>2</w:t>
            </w:r>
          </w:p>
        </w:tc>
        <w:tc>
          <w:tcPr>
            <w:tcW w:w="6836" w:type="dxa"/>
          </w:tcPr>
          <w:p w:rsidR="00D92878" w:rsidRDefault="00D92878" w:rsidP="009F755D">
            <w:pPr>
              <w:spacing w:before="60" w:after="60"/>
            </w:pPr>
            <w:r>
              <w:t xml:space="preserve">Hänvisning bör inte göras till ändringsföreskriften TSFS 2012:66, utan till Järnvägsstyrelsens trafikföreskrifter (JTF). </w:t>
            </w:r>
          </w:p>
        </w:tc>
      </w:tr>
      <w:tr w:rsidR="00D92878" w:rsidRPr="00D92878" w:rsidTr="009F755D">
        <w:tc>
          <w:tcPr>
            <w:tcW w:w="1242" w:type="dxa"/>
          </w:tcPr>
          <w:p w:rsidR="00D92878" w:rsidRDefault="00D92878" w:rsidP="009F755D">
            <w:pPr>
              <w:spacing w:before="60" w:after="60"/>
            </w:pPr>
            <w:r>
              <w:t>3</w:t>
            </w:r>
          </w:p>
        </w:tc>
        <w:tc>
          <w:tcPr>
            <w:tcW w:w="1134" w:type="dxa"/>
          </w:tcPr>
          <w:p w:rsidR="00D92878" w:rsidRDefault="00D92878" w:rsidP="009F755D">
            <w:pPr>
              <w:spacing w:before="60" w:after="60"/>
            </w:pPr>
            <w:r>
              <w:t>3</w:t>
            </w:r>
          </w:p>
        </w:tc>
        <w:tc>
          <w:tcPr>
            <w:tcW w:w="6836" w:type="dxa"/>
          </w:tcPr>
          <w:p w:rsidR="00D92878" w:rsidRDefault="00D92878" w:rsidP="009F755D">
            <w:pPr>
              <w:spacing w:before="60" w:after="60"/>
            </w:pPr>
            <w:r>
              <w:t>Förklaring för termer som anges i JTF bör inte upprepas här.</w:t>
            </w:r>
          </w:p>
        </w:tc>
      </w:tr>
      <w:tr w:rsidR="00D92878" w:rsidRPr="00D92878" w:rsidTr="009F755D">
        <w:tc>
          <w:tcPr>
            <w:tcW w:w="1242" w:type="dxa"/>
          </w:tcPr>
          <w:p w:rsidR="00D92878" w:rsidRDefault="00D92878" w:rsidP="009F755D">
            <w:pPr>
              <w:spacing w:before="60" w:after="60"/>
            </w:pPr>
            <w:r>
              <w:t>4</w:t>
            </w:r>
          </w:p>
        </w:tc>
        <w:tc>
          <w:tcPr>
            <w:tcW w:w="1134" w:type="dxa"/>
          </w:tcPr>
          <w:p w:rsidR="00D92878" w:rsidRDefault="00D92878" w:rsidP="009F755D">
            <w:pPr>
              <w:spacing w:before="60" w:after="60"/>
            </w:pPr>
            <w:r>
              <w:t>4</w:t>
            </w:r>
          </w:p>
        </w:tc>
        <w:tc>
          <w:tcPr>
            <w:tcW w:w="6836" w:type="dxa"/>
          </w:tcPr>
          <w:p w:rsidR="00D92878" w:rsidRDefault="00D92878" w:rsidP="009F755D">
            <w:pPr>
              <w:spacing w:before="60" w:after="60"/>
            </w:pPr>
            <w:r>
              <w:t>Texten omformulerad av tydlighetsskäl, med oförändrat sakinnehåll.</w:t>
            </w:r>
          </w:p>
        </w:tc>
      </w:tr>
      <w:tr w:rsidR="00D92878" w:rsidRPr="00D92878" w:rsidTr="009F755D">
        <w:tc>
          <w:tcPr>
            <w:tcW w:w="1242" w:type="dxa"/>
          </w:tcPr>
          <w:p w:rsidR="00D92878" w:rsidRDefault="00D92878" w:rsidP="009F755D">
            <w:pPr>
              <w:spacing w:before="60" w:after="60"/>
            </w:pPr>
            <w:r>
              <w:t>5</w:t>
            </w:r>
          </w:p>
        </w:tc>
        <w:tc>
          <w:tcPr>
            <w:tcW w:w="1134" w:type="dxa"/>
          </w:tcPr>
          <w:p w:rsidR="00D92878" w:rsidRDefault="00D92878" w:rsidP="009F755D">
            <w:pPr>
              <w:spacing w:before="60" w:after="60"/>
            </w:pPr>
          </w:p>
        </w:tc>
        <w:tc>
          <w:tcPr>
            <w:tcW w:w="6836" w:type="dxa"/>
          </w:tcPr>
          <w:p w:rsidR="00D92878" w:rsidRDefault="00D92878" w:rsidP="009F755D">
            <w:pPr>
              <w:spacing w:before="60" w:after="60"/>
            </w:pPr>
            <w:r>
              <w:t>Området ”risk för föremål på spåret” bör inte omfattas av denna BVS. Det regleras tillräckligt bra i JTF. Det första stycket under rubrik 5 är ett rent citat ur JTF, som inte bör finnas här.</w:t>
            </w:r>
          </w:p>
        </w:tc>
      </w:tr>
      <w:tr w:rsidR="00D92878" w:rsidRPr="00D92878" w:rsidTr="009F755D">
        <w:tc>
          <w:tcPr>
            <w:tcW w:w="1242" w:type="dxa"/>
          </w:tcPr>
          <w:p w:rsidR="00D92878" w:rsidRDefault="00D92878" w:rsidP="009F755D">
            <w:pPr>
              <w:spacing w:before="60" w:after="60"/>
            </w:pPr>
            <w:r>
              <w:t>5.1</w:t>
            </w:r>
          </w:p>
        </w:tc>
        <w:tc>
          <w:tcPr>
            <w:tcW w:w="1134" w:type="dxa"/>
          </w:tcPr>
          <w:p w:rsidR="00D92878" w:rsidRDefault="00D92878" w:rsidP="009F755D">
            <w:pPr>
              <w:spacing w:before="60" w:after="60"/>
            </w:pPr>
            <w:r>
              <w:t>5.1</w:t>
            </w:r>
          </w:p>
        </w:tc>
        <w:tc>
          <w:tcPr>
            <w:tcW w:w="6836" w:type="dxa"/>
          </w:tcPr>
          <w:p w:rsidR="00D92878" w:rsidRDefault="00D92878" w:rsidP="009F755D">
            <w:pPr>
              <w:spacing w:before="60" w:after="60"/>
            </w:pPr>
            <w:r>
              <w:t xml:space="preserve">Ordet </w:t>
            </w:r>
            <w:r w:rsidRPr="004B006F">
              <w:rPr>
                <w:i/>
              </w:rPr>
              <w:t>hjulskada</w:t>
            </w:r>
            <w:r>
              <w:t xml:space="preserve"> bör användas som gemensam benämning för </w:t>
            </w:r>
            <w:r w:rsidRPr="004B006F">
              <w:rPr>
                <w:i/>
              </w:rPr>
              <w:t>hjulplatta</w:t>
            </w:r>
            <w:r>
              <w:t xml:space="preserve"> och </w:t>
            </w:r>
            <w:r w:rsidRPr="004B006F">
              <w:rPr>
                <w:i/>
              </w:rPr>
              <w:t>hjulringsbeläggning</w:t>
            </w:r>
            <w:r>
              <w:t xml:space="preserve">. Inte som synonym till </w:t>
            </w:r>
            <w:r w:rsidRPr="004B006F">
              <w:rPr>
                <w:i/>
              </w:rPr>
              <w:t>hjulringsbeläggning</w:t>
            </w:r>
            <w:r>
              <w:t>.</w:t>
            </w:r>
          </w:p>
          <w:p w:rsidR="00D92878" w:rsidRDefault="00D92878" w:rsidP="009F755D">
            <w:pPr>
              <w:spacing w:before="60" w:after="60"/>
            </w:pPr>
            <w:r>
              <w:t>Texten omformulerad av tydlighetsskäl, med oförändrat sakinnehåll.</w:t>
            </w:r>
          </w:p>
        </w:tc>
      </w:tr>
      <w:tr w:rsidR="00D92878" w:rsidRPr="00D92878" w:rsidTr="009F755D">
        <w:tc>
          <w:tcPr>
            <w:tcW w:w="1242" w:type="dxa"/>
          </w:tcPr>
          <w:p w:rsidR="00D92878" w:rsidRDefault="00D92878" w:rsidP="009F755D">
            <w:pPr>
              <w:spacing w:before="60" w:after="60"/>
            </w:pPr>
            <w:r>
              <w:t>5.2</w:t>
            </w:r>
          </w:p>
        </w:tc>
        <w:tc>
          <w:tcPr>
            <w:tcW w:w="1134" w:type="dxa"/>
          </w:tcPr>
          <w:p w:rsidR="00D92878" w:rsidRDefault="00D92878" w:rsidP="009F755D">
            <w:pPr>
              <w:spacing w:before="60" w:after="60"/>
            </w:pPr>
          </w:p>
        </w:tc>
        <w:tc>
          <w:tcPr>
            <w:tcW w:w="6836" w:type="dxa"/>
          </w:tcPr>
          <w:p w:rsidR="00D92878" w:rsidRDefault="00D92878" w:rsidP="009F755D">
            <w:pPr>
              <w:spacing w:before="60" w:after="60"/>
            </w:pPr>
            <w:r>
              <w:t>Texten av tydlighetsskäl uppdelad i inledning, 5.2.1, 5.2.2 och (ny) 5.3.</w:t>
            </w:r>
          </w:p>
        </w:tc>
      </w:tr>
      <w:tr w:rsidR="00D92878" w:rsidRPr="00D92878" w:rsidTr="009F755D">
        <w:tc>
          <w:tcPr>
            <w:tcW w:w="1242" w:type="dxa"/>
          </w:tcPr>
          <w:p w:rsidR="00D92878" w:rsidRDefault="00D92878" w:rsidP="009F755D">
            <w:pPr>
              <w:spacing w:before="60" w:after="60"/>
            </w:pPr>
          </w:p>
        </w:tc>
        <w:tc>
          <w:tcPr>
            <w:tcW w:w="1134" w:type="dxa"/>
          </w:tcPr>
          <w:p w:rsidR="00D92878" w:rsidRDefault="00D92878" w:rsidP="009F755D">
            <w:pPr>
              <w:spacing w:before="60" w:after="60"/>
            </w:pPr>
            <w:r>
              <w:t>5.2</w:t>
            </w:r>
          </w:p>
        </w:tc>
        <w:tc>
          <w:tcPr>
            <w:tcW w:w="6836" w:type="dxa"/>
          </w:tcPr>
          <w:p w:rsidR="00D92878" w:rsidRDefault="00D92878" w:rsidP="009F755D">
            <w:pPr>
              <w:spacing w:before="60" w:after="60"/>
            </w:pPr>
            <w:r>
              <w:t>Det behövs en inledande regel som anger att tågklareraren ska stoppa färden vid högnivålarm och underrätta föraren/tillsyningsmannen.</w:t>
            </w:r>
          </w:p>
        </w:tc>
      </w:tr>
      <w:tr w:rsidR="00D92878" w:rsidRPr="00D92878" w:rsidTr="009F755D">
        <w:tc>
          <w:tcPr>
            <w:tcW w:w="1242" w:type="dxa"/>
          </w:tcPr>
          <w:p w:rsidR="00D92878" w:rsidRDefault="00D92878" w:rsidP="009F755D">
            <w:pPr>
              <w:spacing w:before="60" w:after="60"/>
            </w:pPr>
            <w:r>
              <w:t>5.2</w:t>
            </w:r>
          </w:p>
        </w:tc>
        <w:tc>
          <w:tcPr>
            <w:tcW w:w="1134" w:type="dxa"/>
          </w:tcPr>
          <w:p w:rsidR="00D92878" w:rsidRDefault="00D92878" w:rsidP="009F755D">
            <w:pPr>
              <w:spacing w:before="60" w:after="60"/>
            </w:pPr>
            <w:r>
              <w:t>5.2.1, 5.2.2</w:t>
            </w:r>
          </w:p>
        </w:tc>
        <w:tc>
          <w:tcPr>
            <w:tcW w:w="6836" w:type="dxa"/>
          </w:tcPr>
          <w:p w:rsidR="00D92878" w:rsidRDefault="00D92878" w:rsidP="009F755D">
            <w:pPr>
              <w:spacing w:before="60" w:after="60"/>
            </w:pPr>
            <w:r>
              <w:t xml:space="preserve">Rubriktexterna </w:t>
            </w:r>
            <w:r w:rsidRPr="00BE5033">
              <w:rPr>
                <w:i/>
              </w:rPr>
              <w:t>Spå</w:t>
            </w:r>
            <w:r>
              <w:rPr>
                <w:i/>
              </w:rPr>
              <w:t>r</w:t>
            </w:r>
            <w:r w:rsidRPr="00BE5033">
              <w:rPr>
                <w:i/>
              </w:rPr>
              <w:t xml:space="preserve">fordon, exklusive lok </w:t>
            </w:r>
            <w:r>
              <w:t xml:space="preserve">och </w:t>
            </w:r>
            <w:r w:rsidRPr="00BE5033">
              <w:rPr>
                <w:i/>
              </w:rPr>
              <w:t>Lok/motsvarande</w:t>
            </w:r>
            <w:r>
              <w:t xml:space="preserve"> är ändrade till </w:t>
            </w:r>
            <w:r w:rsidRPr="00BE5033">
              <w:rPr>
                <w:i/>
              </w:rPr>
              <w:t>Vagnaxel, löpaxel på motorvagnsenhet</w:t>
            </w:r>
            <w:r>
              <w:t xml:space="preserve"> resp. </w:t>
            </w:r>
            <w:r w:rsidRPr="00BE5033">
              <w:rPr>
                <w:i/>
              </w:rPr>
              <w:t>Lokaxel, drivaxel på motrovagn och motorvagnsenhet</w:t>
            </w:r>
            <w:r>
              <w:t>.</w:t>
            </w:r>
          </w:p>
          <w:p w:rsidR="00D92878" w:rsidRPr="00BE5033" w:rsidRDefault="00D92878" w:rsidP="009F755D">
            <w:pPr>
              <w:spacing w:before="60" w:after="60"/>
            </w:pPr>
            <w:r>
              <w:t>Motiv: 1) Terminologi enligt JTF bör följas. 2) För axlar på motorvagnsenheter bör ”lokregler” gälla för drivaxlar, men ”vagnregler” bör gälla för löpaxlar.</w:t>
            </w:r>
          </w:p>
        </w:tc>
      </w:tr>
      <w:tr w:rsidR="00D92878" w:rsidRPr="00D92878" w:rsidTr="009F755D">
        <w:tc>
          <w:tcPr>
            <w:tcW w:w="1242" w:type="dxa"/>
          </w:tcPr>
          <w:p w:rsidR="00D92878" w:rsidRDefault="00D92878" w:rsidP="009F755D">
            <w:pPr>
              <w:spacing w:before="60" w:after="60"/>
            </w:pPr>
          </w:p>
        </w:tc>
        <w:tc>
          <w:tcPr>
            <w:tcW w:w="1134" w:type="dxa"/>
          </w:tcPr>
          <w:p w:rsidR="00D92878" w:rsidRDefault="00D92878" w:rsidP="009F755D">
            <w:pPr>
              <w:spacing w:before="60" w:after="60"/>
            </w:pPr>
            <w:r>
              <w:t>5.2.1</w:t>
            </w:r>
          </w:p>
        </w:tc>
        <w:tc>
          <w:tcPr>
            <w:tcW w:w="6836" w:type="dxa"/>
          </w:tcPr>
          <w:p w:rsidR="00D92878" w:rsidRDefault="00D92878" w:rsidP="009F755D">
            <w:pPr>
              <w:spacing w:before="60" w:after="60"/>
            </w:pPr>
            <w:r>
              <w:t xml:space="preserve">Nivån 350 kN nämns inte här, utan det är företeelsen </w:t>
            </w:r>
            <w:r w:rsidRPr="00112C79">
              <w:rPr>
                <w:i/>
              </w:rPr>
              <w:t>högnivålarm</w:t>
            </w:r>
            <w:r>
              <w:t xml:space="preserve"> som är utslagsgivande.</w:t>
            </w:r>
          </w:p>
          <w:p w:rsidR="00D92878" w:rsidRDefault="00D92878" w:rsidP="009F755D">
            <w:pPr>
              <w:spacing w:before="60" w:after="60"/>
            </w:pPr>
            <w:r>
              <w:t xml:space="preserve">Det bör vara tågklareraren som fastställer den driftplats till vilken det skadade fordonet får föras, enligt lokala anvisningar och efter samråd med järnvägsföretaget. </w:t>
            </w:r>
          </w:p>
        </w:tc>
      </w:tr>
      <w:tr w:rsidR="00D92878" w:rsidTr="009F755D">
        <w:tc>
          <w:tcPr>
            <w:tcW w:w="1242" w:type="dxa"/>
          </w:tcPr>
          <w:p w:rsidR="00D92878" w:rsidRDefault="00D92878" w:rsidP="009F755D">
            <w:pPr>
              <w:spacing w:before="60" w:after="60"/>
            </w:pPr>
          </w:p>
        </w:tc>
        <w:tc>
          <w:tcPr>
            <w:tcW w:w="1134" w:type="dxa"/>
          </w:tcPr>
          <w:p w:rsidR="00D92878" w:rsidRDefault="00D92878" w:rsidP="009F755D">
            <w:pPr>
              <w:spacing w:before="60" w:after="60"/>
            </w:pPr>
            <w:r>
              <w:t>5.2.2</w:t>
            </w:r>
          </w:p>
        </w:tc>
        <w:tc>
          <w:tcPr>
            <w:tcW w:w="6836" w:type="dxa"/>
          </w:tcPr>
          <w:p w:rsidR="00D92878" w:rsidRDefault="00D92878" w:rsidP="009F755D">
            <w:pPr>
              <w:spacing w:before="60" w:after="60"/>
            </w:pPr>
            <w:r>
              <w:t>Det faktum att det för högnivålarm med registrerad kraft över 425kN gäller samma som för vagnaxel, det bör utnyttjas för att förenkla regeltexten.</w:t>
            </w:r>
          </w:p>
          <w:p w:rsidR="00D92878" w:rsidRDefault="00D92878" w:rsidP="009F755D">
            <w:pPr>
              <w:spacing w:before="60" w:after="60"/>
            </w:pPr>
            <w:r>
              <w:t>För fallet med registrerad kraft under 425 kN: Regeln måste vara att tågklareraren underrättar järnvägsföretaget (transportledningen etc.) om vilken hastighet som ska gälla. Järnvägsföretaget underrättar i sin tur föraren. Detta eftersom fordonet kan komma att framföras med sin skada långt utanför tågklarerarens område. Ett exempel är medtaget.</w:t>
            </w:r>
          </w:p>
        </w:tc>
      </w:tr>
      <w:tr w:rsidR="00D92878" w:rsidRPr="00D92878" w:rsidTr="009F755D">
        <w:tc>
          <w:tcPr>
            <w:tcW w:w="1242" w:type="dxa"/>
          </w:tcPr>
          <w:p w:rsidR="00D92878" w:rsidRDefault="00D92878" w:rsidP="009F755D">
            <w:pPr>
              <w:spacing w:before="60" w:after="60"/>
            </w:pPr>
          </w:p>
        </w:tc>
        <w:tc>
          <w:tcPr>
            <w:tcW w:w="1134" w:type="dxa"/>
          </w:tcPr>
          <w:p w:rsidR="00D92878" w:rsidRDefault="00D92878" w:rsidP="009F755D">
            <w:pPr>
              <w:spacing w:before="60" w:after="60"/>
            </w:pPr>
            <w:r>
              <w:t>5.3</w:t>
            </w:r>
          </w:p>
        </w:tc>
        <w:tc>
          <w:tcPr>
            <w:tcW w:w="6836" w:type="dxa"/>
          </w:tcPr>
          <w:p w:rsidR="00D92878" w:rsidRDefault="00D92878" w:rsidP="009F755D">
            <w:pPr>
              <w:spacing w:before="60" w:after="60"/>
            </w:pPr>
            <w:r>
              <w:t>Texten om vidare transport är intagen i ett eget avsnitt, av redigerings- och tydlighetsskäl.</w:t>
            </w:r>
          </w:p>
        </w:tc>
      </w:tr>
      <w:tr w:rsidR="00D92878" w:rsidRPr="00D92878" w:rsidTr="009F755D">
        <w:tc>
          <w:tcPr>
            <w:tcW w:w="1242" w:type="dxa"/>
          </w:tcPr>
          <w:p w:rsidR="00D92878" w:rsidRDefault="00D92878" w:rsidP="009F755D">
            <w:pPr>
              <w:spacing w:before="60" w:after="60"/>
            </w:pPr>
            <w:r>
              <w:t>5.3</w:t>
            </w:r>
          </w:p>
        </w:tc>
        <w:tc>
          <w:tcPr>
            <w:tcW w:w="1134" w:type="dxa"/>
          </w:tcPr>
          <w:p w:rsidR="00D92878" w:rsidRDefault="00D92878" w:rsidP="009F755D">
            <w:pPr>
              <w:spacing w:before="60" w:after="60"/>
            </w:pPr>
            <w:r>
              <w:t>5.4</w:t>
            </w:r>
          </w:p>
        </w:tc>
        <w:tc>
          <w:tcPr>
            <w:tcW w:w="6836" w:type="dxa"/>
          </w:tcPr>
          <w:p w:rsidR="00D92878" w:rsidRDefault="00D92878" w:rsidP="009F755D">
            <w:pPr>
              <w:spacing w:before="60" w:after="60"/>
            </w:pPr>
            <w:r>
              <w:t>De bestämmelser som redan finns i JTF bör inte upprepas här.</w:t>
            </w:r>
          </w:p>
          <w:p w:rsidR="00D92878" w:rsidRDefault="00D92878" w:rsidP="009F755D">
            <w:pPr>
              <w:spacing w:before="60" w:after="60"/>
            </w:pPr>
            <w:r>
              <w:t>Tydligare reglering av vilken sträcka som minst ska avsynas, samt ett klargörande exempel.</w:t>
            </w:r>
          </w:p>
        </w:tc>
      </w:tr>
      <w:tr w:rsidR="00D92878" w:rsidRPr="00D92878" w:rsidTr="009F755D">
        <w:tc>
          <w:tcPr>
            <w:tcW w:w="1242" w:type="dxa"/>
          </w:tcPr>
          <w:p w:rsidR="00D92878" w:rsidRDefault="00D92878" w:rsidP="009F755D">
            <w:pPr>
              <w:spacing w:before="60" w:after="60"/>
            </w:pPr>
            <w:r>
              <w:t>6</w:t>
            </w:r>
          </w:p>
        </w:tc>
        <w:tc>
          <w:tcPr>
            <w:tcW w:w="1134" w:type="dxa"/>
          </w:tcPr>
          <w:p w:rsidR="00D92878" w:rsidRDefault="00D92878" w:rsidP="009F755D">
            <w:pPr>
              <w:spacing w:before="60" w:after="60"/>
            </w:pPr>
            <w:r>
              <w:t>6</w:t>
            </w:r>
          </w:p>
        </w:tc>
        <w:tc>
          <w:tcPr>
            <w:tcW w:w="6836" w:type="dxa"/>
          </w:tcPr>
          <w:p w:rsidR="00D92878" w:rsidRDefault="00D92878" w:rsidP="009F755D">
            <w:pPr>
              <w:spacing w:before="60" w:after="60"/>
            </w:pPr>
            <w:r>
              <w:t xml:space="preserve">Ändringsföreskriften TSFS 2012:66 bör inte tas med här. Det är självklart att man med </w:t>
            </w:r>
            <w:r w:rsidRPr="001F680B">
              <w:rPr>
                <w:i/>
              </w:rPr>
              <w:t>JvSFS 2008:7</w:t>
            </w:r>
            <w:r>
              <w:t xml:space="preserve"> menar den föreskriften inklusive senare ändringar.</w:t>
            </w:r>
          </w:p>
        </w:tc>
      </w:tr>
    </w:tbl>
    <w:p w:rsidR="00D92878" w:rsidRPr="00DA2018" w:rsidRDefault="00D92878" w:rsidP="00D92878">
      <w:pPr>
        <w:rPr>
          <w:lang w:val="sv-SE"/>
        </w:rPr>
      </w:pPr>
    </w:p>
    <w:p w:rsidR="00D92878" w:rsidRPr="008F3954" w:rsidRDefault="00D92878" w:rsidP="00D92878">
      <w:pPr>
        <w:rPr>
          <w:rFonts w:ascii="Arial" w:hAnsi="Arial" w:cs="Arial"/>
          <w:lang w:val="sv-SE"/>
        </w:rPr>
      </w:pPr>
    </w:p>
    <w:p w:rsidR="00DB41A7" w:rsidRDefault="00DB41A7">
      <w:pPr>
        <w:rPr>
          <w:rFonts w:ascii="Arial" w:hAnsi="Arial" w:cs="Arial"/>
          <w:lang w:val="sv-SE"/>
        </w:rPr>
        <w:sectPr w:rsidR="00DB41A7" w:rsidSect="00CB4273">
          <w:pgSz w:w="11906" w:h="16838"/>
          <w:pgMar w:top="1417" w:right="1417" w:bottom="1417" w:left="1417" w:header="708" w:footer="708" w:gutter="0"/>
          <w:cols w:space="708"/>
          <w:docGrid w:linePitch="360"/>
        </w:sectPr>
      </w:pPr>
    </w:p>
    <w:p w:rsidR="00DA2018" w:rsidRPr="008F3954" w:rsidRDefault="00DA2018" w:rsidP="00D92878">
      <w:pPr>
        <w:rPr>
          <w:rFonts w:ascii="Arial" w:hAnsi="Arial" w:cs="Arial"/>
          <w:lang w:val="sv-SE"/>
        </w:rPr>
      </w:pPr>
    </w:p>
    <w:sectPr w:rsidR="00DA2018" w:rsidRPr="008F3954" w:rsidSect="00186043">
      <w:headerReference w:type="default" r:id="rId13"/>
      <w:footerReference w:type="defaul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E8F" w:rsidRDefault="00E65E8F" w:rsidP="00DA2018">
      <w:pPr>
        <w:spacing w:after="0" w:line="240" w:lineRule="auto"/>
      </w:pPr>
      <w:r>
        <w:separator/>
      </w:r>
    </w:p>
  </w:endnote>
  <w:endnote w:type="continuationSeparator" w:id="0">
    <w:p w:rsidR="00E65E8F" w:rsidRDefault="00E65E8F" w:rsidP="00DA2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471027"/>
      <w:docPartObj>
        <w:docPartGallery w:val="Page Numbers (Bottom of Page)"/>
        <w:docPartUnique/>
      </w:docPartObj>
    </w:sdtPr>
    <w:sdtContent>
      <w:p w:rsidR="00D92878" w:rsidRDefault="00D92878">
        <w:pPr>
          <w:pStyle w:val="Sidfot"/>
          <w:jc w:val="right"/>
        </w:pPr>
        <w:r>
          <w:fldChar w:fldCharType="begin"/>
        </w:r>
        <w:r>
          <w:instrText>PAGE   \* MERGEFORMAT</w:instrText>
        </w:r>
        <w:r>
          <w:fldChar w:fldCharType="separate"/>
        </w:r>
        <w:r w:rsidR="001F02A7" w:rsidRPr="001F02A7">
          <w:rPr>
            <w:noProof/>
            <w:lang w:val="sv-SE"/>
          </w:rPr>
          <w:t>2</w:t>
        </w:r>
        <w:r>
          <w:fldChar w:fldCharType="end"/>
        </w:r>
      </w:p>
    </w:sdtContent>
  </w:sdt>
  <w:p w:rsidR="00DA2018" w:rsidRDefault="00DA201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483554"/>
      <w:docPartObj>
        <w:docPartGallery w:val="Page Numbers (Bottom of Page)"/>
        <w:docPartUnique/>
      </w:docPartObj>
    </w:sdtPr>
    <w:sdtEndPr/>
    <w:sdtContent>
      <w:p w:rsidR="00DA2018" w:rsidRDefault="00E65E8F">
        <w:pPr>
          <w:pStyle w:val="Sidfot"/>
          <w:jc w:val="right"/>
        </w:pPr>
        <w:r>
          <w:fldChar w:fldCharType="begin"/>
        </w:r>
        <w:r>
          <w:instrText xml:space="preserve"> PAGE   \* MERGEFORMAT </w:instrText>
        </w:r>
        <w:r>
          <w:fldChar w:fldCharType="separate"/>
        </w:r>
        <w:r w:rsidR="00082592">
          <w:rPr>
            <w:noProof/>
          </w:rPr>
          <w:t>1</w:t>
        </w:r>
        <w:r>
          <w:rPr>
            <w:noProof/>
          </w:rPr>
          <w:fldChar w:fldCharType="end"/>
        </w:r>
      </w:p>
    </w:sdtContent>
  </w:sdt>
  <w:p w:rsidR="00DA2018" w:rsidRDefault="00DA201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E8F" w:rsidRDefault="00E65E8F" w:rsidP="00DA2018">
      <w:pPr>
        <w:spacing w:after="0" w:line="240" w:lineRule="auto"/>
      </w:pPr>
      <w:r>
        <w:separator/>
      </w:r>
    </w:p>
  </w:footnote>
  <w:footnote w:type="continuationSeparator" w:id="0">
    <w:p w:rsidR="00E65E8F" w:rsidRDefault="00E65E8F" w:rsidP="00DA2018">
      <w:pPr>
        <w:spacing w:after="0" w:line="240" w:lineRule="auto"/>
      </w:pPr>
      <w:r>
        <w:continuationSeparator/>
      </w:r>
    </w:p>
  </w:footnote>
  <w:footnote w:id="1">
    <w:p w:rsidR="00D92878" w:rsidRDefault="00D92878" w:rsidP="00D92878">
      <w:pPr>
        <w:pStyle w:val="Fotnotstext"/>
      </w:pPr>
      <w:r>
        <w:rPr>
          <w:rStyle w:val="Fotnotsreferens"/>
        </w:rPr>
        <w:footnoteRef/>
      </w:r>
      <w:r>
        <w:t xml:space="preserve"> I ändrad lydelse enligt TSFS 2012:66.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043" w:rsidRPr="00186043" w:rsidRDefault="00186043" w:rsidP="00186043">
    <w:pPr>
      <w:pStyle w:val="Sidhuvud"/>
      <w:jc w:val="right"/>
      <w:rPr>
        <w:lang w:val="sv-SE"/>
      </w:rPr>
    </w:pPr>
    <w:r>
      <w:rPr>
        <w:lang w:val="sv-SE"/>
      </w:rPr>
      <w:t xml:space="preserve">Bilaga 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5172B"/>
    <w:multiLevelType w:val="hybridMultilevel"/>
    <w:tmpl w:val="EA0C9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025166B"/>
    <w:multiLevelType w:val="hybridMultilevel"/>
    <w:tmpl w:val="6B507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94B63A5"/>
    <w:multiLevelType w:val="hybridMultilevel"/>
    <w:tmpl w:val="F4F290F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866"/>
    <w:rsid w:val="000270D5"/>
    <w:rsid w:val="000470FE"/>
    <w:rsid w:val="00082592"/>
    <w:rsid w:val="000E06C5"/>
    <w:rsid w:val="00160DB3"/>
    <w:rsid w:val="00186043"/>
    <w:rsid w:val="001F02A7"/>
    <w:rsid w:val="00210413"/>
    <w:rsid w:val="00212483"/>
    <w:rsid w:val="00271C2E"/>
    <w:rsid w:val="00387CDF"/>
    <w:rsid w:val="003C0DB9"/>
    <w:rsid w:val="0043762D"/>
    <w:rsid w:val="00464545"/>
    <w:rsid w:val="00634A56"/>
    <w:rsid w:val="00636DBD"/>
    <w:rsid w:val="00663866"/>
    <w:rsid w:val="006F1F35"/>
    <w:rsid w:val="006F4561"/>
    <w:rsid w:val="007336F9"/>
    <w:rsid w:val="0074118F"/>
    <w:rsid w:val="007B603C"/>
    <w:rsid w:val="007F2714"/>
    <w:rsid w:val="008266A9"/>
    <w:rsid w:val="008F3954"/>
    <w:rsid w:val="00930EAD"/>
    <w:rsid w:val="009332C2"/>
    <w:rsid w:val="009944E7"/>
    <w:rsid w:val="009D4115"/>
    <w:rsid w:val="00B2487F"/>
    <w:rsid w:val="00B53B37"/>
    <w:rsid w:val="00C019F3"/>
    <w:rsid w:val="00C108A7"/>
    <w:rsid w:val="00C50DD2"/>
    <w:rsid w:val="00C81B9E"/>
    <w:rsid w:val="00CB1230"/>
    <w:rsid w:val="00CB4273"/>
    <w:rsid w:val="00D42442"/>
    <w:rsid w:val="00D73722"/>
    <w:rsid w:val="00D83A51"/>
    <w:rsid w:val="00D92878"/>
    <w:rsid w:val="00DA2018"/>
    <w:rsid w:val="00DB1855"/>
    <w:rsid w:val="00DB41A7"/>
    <w:rsid w:val="00DF5243"/>
    <w:rsid w:val="00E65E8F"/>
    <w:rsid w:val="00EA409B"/>
    <w:rsid w:val="00EB0E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4118F"/>
    <w:pPr>
      <w:ind w:left="720"/>
      <w:contextualSpacing/>
    </w:pPr>
  </w:style>
  <w:style w:type="paragraph" w:styleId="Ballongtext">
    <w:name w:val="Balloon Text"/>
    <w:basedOn w:val="Normal"/>
    <w:link w:val="BallongtextChar"/>
    <w:uiPriority w:val="99"/>
    <w:semiHidden/>
    <w:unhideWhenUsed/>
    <w:rsid w:val="008266A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266A9"/>
    <w:rPr>
      <w:rFonts w:ascii="Tahoma" w:hAnsi="Tahoma" w:cs="Tahoma"/>
      <w:sz w:val="16"/>
      <w:szCs w:val="16"/>
    </w:rPr>
  </w:style>
  <w:style w:type="paragraph" w:styleId="Fotnotstext">
    <w:name w:val="footnote text"/>
    <w:basedOn w:val="Normal"/>
    <w:link w:val="FotnotstextChar"/>
    <w:uiPriority w:val="99"/>
    <w:semiHidden/>
    <w:unhideWhenUsed/>
    <w:rsid w:val="00DA2018"/>
    <w:pPr>
      <w:spacing w:after="0" w:line="240" w:lineRule="auto"/>
    </w:pPr>
    <w:rPr>
      <w:sz w:val="20"/>
      <w:szCs w:val="20"/>
      <w:lang w:val="sv-SE"/>
    </w:rPr>
  </w:style>
  <w:style w:type="character" w:customStyle="1" w:styleId="FotnotstextChar">
    <w:name w:val="Fotnotstext Char"/>
    <w:basedOn w:val="Standardstycketeckensnitt"/>
    <w:link w:val="Fotnotstext"/>
    <w:uiPriority w:val="99"/>
    <w:semiHidden/>
    <w:rsid w:val="00DA2018"/>
    <w:rPr>
      <w:sz w:val="20"/>
      <w:szCs w:val="20"/>
      <w:lang w:val="sv-SE"/>
    </w:rPr>
  </w:style>
  <w:style w:type="character" w:styleId="Fotnotsreferens">
    <w:name w:val="footnote reference"/>
    <w:basedOn w:val="Standardstycketeckensnitt"/>
    <w:uiPriority w:val="99"/>
    <w:semiHidden/>
    <w:unhideWhenUsed/>
    <w:rsid w:val="00DA2018"/>
    <w:rPr>
      <w:vertAlign w:val="superscript"/>
    </w:rPr>
  </w:style>
  <w:style w:type="table" w:styleId="Tabellrutnt">
    <w:name w:val="Table Grid"/>
    <w:basedOn w:val="Normaltabell"/>
    <w:uiPriority w:val="59"/>
    <w:rsid w:val="00DA2018"/>
    <w:pPr>
      <w:spacing w:after="0" w:line="240" w:lineRule="auto"/>
    </w:pPr>
    <w:rPr>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huvud">
    <w:name w:val="header"/>
    <w:basedOn w:val="Normal"/>
    <w:link w:val="SidhuvudChar"/>
    <w:uiPriority w:val="99"/>
    <w:unhideWhenUsed/>
    <w:rsid w:val="00DA201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A2018"/>
  </w:style>
  <w:style w:type="paragraph" w:styleId="Sidfot">
    <w:name w:val="footer"/>
    <w:basedOn w:val="Normal"/>
    <w:link w:val="SidfotChar"/>
    <w:uiPriority w:val="99"/>
    <w:unhideWhenUsed/>
    <w:rsid w:val="00DA201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A2018"/>
  </w:style>
  <w:style w:type="paragraph" w:styleId="Ingetavstnd">
    <w:name w:val="No Spacing"/>
    <w:uiPriority w:val="1"/>
    <w:qFormat/>
    <w:rsid w:val="00D92878"/>
    <w:pPr>
      <w:spacing w:after="0" w:line="240" w:lineRule="auto"/>
    </w:pPr>
  </w:style>
  <w:style w:type="character" w:styleId="Hyperlnk">
    <w:name w:val="Hyperlink"/>
    <w:basedOn w:val="Standardstycketeckensnitt"/>
    <w:uiPriority w:val="99"/>
    <w:unhideWhenUsed/>
    <w:rsid w:val="000825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4118F"/>
    <w:pPr>
      <w:ind w:left="720"/>
      <w:contextualSpacing/>
    </w:pPr>
  </w:style>
  <w:style w:type="paragraph" w:styleId="Ballongtext">
    <w:name w:val="Balloon Text"/>
    <w:basedOn w:val="Normal"/>
    <w:link w:val="BallongtextChar"/>
    <w:uiPriority w:val="99"/>
    <w:semiHidden/>
    <w:unhideWhenUsed/>
    <w:rsid w:val="008266A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266A9"/>
    <w:rPr>
      <w:rFonts w:ascii="Tahoma" w:hAnsi="Tahoma" w:cs="Tahoma"/>
      <w:sz w:val="16"/>
      <w:szCs w:val="16"/>
    </w:rPr>
  </w:style>
  <w:style w:type="paragraph" w:styleId="Fotnotstext">
    <w:name w:val="footnote text"/>
    <w:basedOn w:val="Normal"/>
    <w:link w:val="FotnotstextChar"/>
    <w:uiPriority w:val="99"/>
    <w:semiHidden/>
    <w:unhideWhenUsed/>
    <w:rsid w:val="00DA2018"/>
    <w:pPr>
      <w:spacing w:after="0" w:line="240" w:lineRule="auto"/>
    </w:pPr>
    <w:rPr>
      <w:sz w:val="20"/>
      <w:szCs w:val="20"/>
      <w:lang w:val="sv-SE"/>
    </w:rPr>
  </w:style>
  <w:style w:type="character" w:customStyle="1" w:styleId="FotnotstextChar">
    <w:name w:val="Fotnotstext Char"/>
    <w:basedOn w:val="Standardstycketeckensnitt"/>
    <w:link w:val="Fotnotstext"/>
    <w:uiPriority w:val="99"/>
    <w:semiHidden/>
    <w:rsid w:val="00DA2018"/>
    <w:rPr>
      <w:sz w:val="20"/>
      <w:szCs w:val="20"/>
      <w:lang w:val="sv-SE"/>
    </w:rPr>
  </w:style>
  <w:style w:type="character" w:styleId="Fotnotsreferens">
    <w:name w:val="footnote reference"/>
    <w:basedOn w:val="Standardstycketeckensnitt"/>
    <w:uiPriority w:val="99"/>
    <w:semiHidden/>
    <w:unhideWhenUsed/>
    <w:rsid w:val="00DA2018"/>
    <w:rPr>
      <w:vertAlign w:val="superscript"/>
    </w:rPr>
  </w:style>
  <w:style w:type="table" w:styleId="Tabellrutnt">
    <w:name w:val="Table Grid"/>
    <w:basedOn w:val="Normaltabell"/>
    <w:uiPriority w:val="59"/>
    <w:rsid w:val="00DA2018"/>
    <w:pPr>
      <w:spacing w:after="0" w:line="240" w:lineRule="auto"/>
    </w:pPr>
    <w:rPr>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huvud">
    <w:name w:val="header"/>
    <w:basedOn w:val="Normal"/>
    <w:link w:val="SidhuvudChar"/>
    <w:uiPriority w:val="99"/>
    <w:unhideWhenUsed/>
    <w:rsid w:val="00DA201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A2018"/>
  </w:style>
  <w:style w:type="paragraph" w:styleId="Sidfot">
    <w:name w:val="footer"/>
    <w:basedOn w:val="Normal"/>
    <w:link w:val="SidfotChar"/>
    <w:uiPriority w:val="99"/>
    <w:unhideWhenUsed/>
    <w:rsid w:val="00DA201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A2018"/>
  </w:style>
  <w:style w:type="paragraph" w:styleId="Ingetavstnd">
    <w:name w:val="No Spacing"/>
    <w:uiPriority w:val="1"/>
    <w:qFormat/>
    <w:rsid w:val="00D92878"/>
    <w:pPr>
      <w:spacing w:after="0" w:line="240" w:lineRule="auto"/>
    </w:pPr>
  </w:style>
  <w:style w:type="character" w:styleId="Hyperlnk">
    <w:name w:val="Hyperlink"/>
    <w:basedOn w:val="Standardstycketeckensnitt"/>
    <w:uiPriority w:val="99"/>
    <w:unhideWhenUsed/>
    <w:rsid w:val="000825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rafikverket@trafikverket.s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609C5-8876-4CDC-B996-50ADFE595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1890</Words>
  <Characters>10017</Characters>
  <Application>Microsoft Office Word</Application>
  <DocSecurity>0</DocSecurity>
  <Lines>83</Lines>
  <Paragraphs>23</Paragraphs>
  <ScaleCrop>false</ScaleCrop>
  <HeadingPairs>
    <vt:vector size="2" baseType="variant">
      <vt:variant>
        <vt:lpstr>Rubrik</vt:lpstr>
      </vt:variant>
      <vt:variant>
        <vt:i4>1</vt:i4>
      </vt:variant>
    </vt:vector>
  </HeadingPairs>
  <TitlesOfParts>
    <vt:vector size="1" baseType="lpstr">
      <vt:lpstr/>
    </vt:vector>
  </TitlesOfParts>
  <Company>Green Cargo AB</Company>
  <LinksUpToDate>false</LinksUpToDate>
  <CharactersWithSpaces>11884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Janne</dc:creator>
  <cp:lastModifiedBy>Christel Wiman </cp:lastModifiedBy>
  <cp:revision>3</cp:revision>
  <cp:lastPrinted>2012-11-22T12:03:00Z</cp:lastPrinted>
  <dcterms:created xsi:type="dcterms:W3CDTF">2012-11-23T15:26:00Z</dcterms:created>
  <dcterms:modified xsi:type="dcterms:W3CDTF">2012-11-23T15:27:00Z</dcterms:modified>
</cp:coreProperties>
</file>